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0244" w14:textId="3E9E2481" w:rsidR="006555C6" w:rsidRDefault="006555C6" w:rsidP="00B50B2C">
      <w:pPr>
        <w:keepNext/>
        <w:keepLines/>
        <w:spacing w:before="480" w:after="120" w:line="288" w:lineRule="auto"/>
        <w:jc w:val="both"/>
        <w:outlineLvl w:val="1"/>
        <w:rPr>
          <w:rFonts w:ascii="Segoe UI" w:eastAsia="Times New Roman" w:hAnsi="Segoe UI" w:cs="Segoe UI"/>
          <w:color w:val="004388"/>
          <w:sz w:val="30"/>
          <w:szCs w:val="30"/>
        </w:rPr>
      </w:pPr>
      <w:bookmarkStart w:id="0" w:name="_Toc133318066"/>
      <w:bookmarkStart w:id="1" w:name="_Toc66797200"/>
      <w:r w:rsidRPr="008339F7">
        <w:rPr>
          <w:rFonts w:ascii="Segoe UI" w:eastAsia="Times New Roman" w:hAnsi="Segoe UI" w:cs="Segoe UI"/>
          <w:vanish/>
          <w:color w:val="004388"/>
          <w:sz w:val="30"/>
          <w:szCs w:val="30"/>
        </w:rPr>
        <w:t>Příručka pro zadávání veřejných zakázek</w:t>
      </w:r>
      <w:r>
        <w:rPr>
          <w:rFonts w:ascii="Segoe UI" w:eastAsia="Times New Roman" w:hAnsi="Segoe UI" w:cs="Segoe UI"/>
          <w:vanish/>
          <w:color w:val="004388"/>
          <w:sz w:val="30"/>
          <w:szCs w:val="30"/>
        </w:rPr>
        <w:t xml:space="preserve"> v</w:t>
      </w:r>
      <w:r w:rsidR="00A16F07">
        <w:rPr>
          <w:rFonts w:ascii="Segoe UI" w:eastAsia="Times New Roman" w:hAnsi="Segoe UI" w:cs="Segoe UI"/>
          <w:vanish/>
          <w:color w:val="004388"/>
          <w:sz w:val="30"/>
          <w:szCs w:val="30"/>
        </w:rPr>
        <w:t> </w:t>
      </w:r>
      <w:r>
        <w:rPr>
          <w:rFonts w:ascii="Segoe UI" w:eastAsia="Times New Roman" w:hAnsi="Segoe UI" w:cs="Segoe UI"/>
          <w:vanish/>
          <w:color w:val="004388"/>
          <w:sz w:val="30"/>
          <w:szCs w:val="30"/>
        </w:rPr>
        <w:t>rámci realizace projektu</w:t>
      </w:r>
    </w:p>
    <w:p w14:paraId="2F5CE818" w14:textId="53EB361D" w:rsidR="00A16F07" w:rsidRPr="00A16F07" w:rsidRDefault="00A16F07" w:rsidP="00B50B2C">
      <w:pPr>
        <w:jc w:val="both"/>
        <w:rPr>
          <w:sz w:val="48"/>
          <w:szCs w:val="48"/>
        </w:rPr>
      </w:pPr>
    </w:p>
    <w:p w14:paraId="0187DACB" w14:textId="7B0DAF9C" w:rsidR="00A16F07" w:rsidRPr="00A16F07" w:rsidRDefault="00A16F07" w:rsidP="00B50B2C">
      <w:pPr>
        <w:jc w:val="both"/>
        <w:rPr>
          <w:sz w:val="72"/>
          <w:szCs w:val="72"/>
        </w:rPr>
      </w:pPr>
      <w:r w:rsidRPr="00A16F07">
        <w:rPr>
          <w:sz w:val="72"/>
          <w:szCs w:val="72"/>
        </w:rPr>
        <w:t>Výběr dodavatele, veřejné zakázky</w:t>
      </w:r>
    </w:p>
    <w:p w14:paraId="5716E304" w14:textId="4C368CD2" w:rsidR="00A16F07" w:rsidRPr="00A16F07" w:rsidRDefault="00A16F07" w:rsidP="00B50B2C">
      <w:pPr>
        <w:pStyle w:val="Odstavecseseznamem"/>
        <w:numPr>
          <w:ilvl w:val="0"/>
          <w:numId w:val="16"/>
        </w:numPr>
        <w:jc w:val="both"/>
        <w:rPr>
          <w:sz w:val="72"/>
          <w:szCs w:val="72"/>
        </w:rPr>
      </w:pPr>
      <w:r w:rsidRPr="00A16F07">
        <w:rPr>
          <w:sz w:val="72"/>
          <w:szCs w:val="72"/>
        </w:rPr>
        <w:t>pokyny pro české partnery</w:t>
      </w:r>
    </w:p>
    <w:p w14:paraId="7EE82F79" w14:textId="77777777" w:rsidR="00B50B2C" w:rsidRDefault="00B50B2C" w:rsidP="00B50B2C">
      <w:pPr>
        <w:jc w:val="both"/>
      </w:pPr>
    </w:p>
    <w:p w14:paraId="321572BF" w14:textId="77777777" w:rsidR="00B50B2C" w:rsidRDefault="00B50B2C" w:rsidP="00B50B2C">
      <w:pPr>
        <w:jc w:val="both"/>
      </w:pPr>
    </w:p>
    <w:p w14:paraId="55FAA6CE" w14:textId="77777777" w:rsidR="00B50B2C" w:rsidRDefault="00B50B2C" w:rsidP="00B50B2C">
      <w:pPr>
        <w:jc w:val="both"/>
      </w:pPr>
    </w:p>
    <w:p w14:paraId="5EC7371F" w14:textId="77777777" w:rsidR="00B50B2C" w:rsidRDefault="00B50B2C" w:rsidP="00B50B2C">
      <w:pPr>
        <w:jc w:val="both"/>
      </w:pPr>
    </w:p>
    <w:p w14:paraId="14DFD45B" w14:textId="77777777" w:rsidR="00B50B2C" w:rsidRDefault="00B50B2C" w:rsidP="00B50B2C">
      <w:pPr>
        <w:jc w:val="both"/>
      </w:pPr>
    </w:p>
    <w:p w14:paraId="2CA3C0D7" w14:textId="77777777" w:rsidR="00B50B2C" w:rsidRDefault="00B50B2C" w:rsidP="00B50B2C">
      <w:pPr>
        <w:jc w:val="both"/>
      </w:pPr>
    </w:p>
    <w:p w14:paraId="57B0B8E7" w14:textId="77777777" w:rsidR="00B50B2C" w:rsidRDefault="00B50B2C" w:rsidP="00B50B2C">
      <w:pPr>
        <w:jc w:val="both"/>
      </w:pPr>
    </w:p>
    <w:p w14:paraId="2145D02B" w14:textId="77777777" w:rsidR="00B50B2C" w:rsidRDefault="00B50B2C" w:rsidP="00B50B2C">
      <w:pPr>
        <w:jc w:val="both"/>
      </w:pPr>
    </w:p>
    <w:p w14:paraId="23F74557" w14:textId="77777777" w:rsidR="00B50B2C" w:rsidRDefault="00B50B2C" w:rsidP="00B50B2C">
      <w:pPr>
        <w:jc w:val="both"/>
      </w:pPr>
    </w:p>
    <w:p w14:paraId="0F70608F" w14:textId="77777777" w:rsidR="00B50B2C" w:rsidRDefault="00B50B2C" w:rsidP="00B50B2C">
      <w:pPr>
        <w:jc w:val="both"/>
      </w:pPr>
    </w:p>
    <w:p w14:paraId="3C7C102B" w14:textId="77777777" w:rsidR="00B50B2C" w:rsidRDefault="00B50B2C" w:rsidP="00B50B2C">
      <w:pPr>
        <w:jc w:val="both"/>
      </w:pPr>
    </w:p>
    <w:p w14:paraId="52BD9813" w14:textId="77777777" w:rsidR="00B50B2C" w:rsidRDefault="00B50B2C" w:rsidP="00B50B2C">
      <w:pPr>
        <w:jc w:val="both"/>
      </w:pPr>
    </w:p>
    <w:p w14:paraId="1CD04786" w14:textId="77777777" w:rsidR="00B50B2C" w:rsidRDefault="00B50B2C" w:rsidP="00B50B2C">
      <w:pPr>
        <w:jc w:val="both"/>
      </w:pPr>
    </w:p>
    <w:p w14:paraId="3497C96C" w14:textId="77777777" w:rsidR="00B50B2C" w:rsidRDefault="00B50B2C" w:rsidP="00B50B2C">
      <w:pPr>
        <w:jc w:val="both"/>
      </w:pPr>
    </w:p>
    <w:p w14:paraId="154A432A" w14:textId="77777777" w:rsidR="00B50B2C" w:rsidRDefault="00B50B2C" w:rsidP="00B50B2C">
      <w:pPr>
        <w:jc w:val="both"/>
      </w:pPr>
    </w:p>
    <w:p w14:paraId="4B5215EA" w14:textId="77777777" w:rsidR="00B50B2C" w:rsidRDefault="00B50B2C" w:rsidP="00B50B2C">
      <w:pPr>
        <w:jc w:val="both"/>
      </w:pPr>
    </w:p>
    <w:p w14:paraId="0629870E" w14:textId="5CFF5AFA" w:rsidR="00A16F07" w:rsidRDefault="00A16F07" w:rsidP="00B50B2C">
      <w:pPr>
        <w:jc w:val="both"/>
      </w:pPr>
      <w:r>
        <w:t>Tento dokument slouží jako metodický materiál pro české partnery při realizaci veřejných zakázek.</w:t>
      </w:r>
    </w:p>
    <w:p w14:paraId="73249309" w14:textId="5AE1B673" w:rsidR="00A16F07" w:rsidRDefault="00A16F07" w:rsidP="00B50B2C">
      <w:pPr>
        <w:jc w:val="both"/>
        <w:rPr>
          <w:sz w:val="16"/>
          <w:szCs w:val="16"/>
        </w:rPr>
      </w:pPr>
      <w:r>
        <w:t>V případě dot</w:t>
      </w:r>
      <w:r w:rsidR="00B50B2C">
        <w:t xml:space="preserve">azů je partnerům doporučeno se obrátit na jejich místně příslušného kontrolora nebo případně na e-mail </w:t>
      </w:r>
      <w:hyperlink r:id="rId7" w:history="1">
        <w:r w:rsidR="00D17206" w:rsidRPr="00EA0B04">
          <w:rPr>
            <w:rStyle w:val="Hypertextovodkaz"/>
            <w:rFonts w:ascii="Segoe UI" w:eastAsia="Times New Roman" w:hAnsi="Segoe UI" w:cs="Segoe UI"/>
          </w:rPr>
          <w:t>eus_kontrola@crr.cz</w:t>
        </w:r>
      </w:hyperlink>
      <w:r w:rsidR="00B50B2C" w:rsidRPr="00B50B2C">
        <w:rPr>
          <w:sz w:val="16"/>
          <w:szCs w:val="16"/>
        </w:rPr>
        <w:t xml:space="preserve"> </w:t>
      </w:r>
    </w:p>
    <w:p w14:paraId="35D719C9" w14:textId="02B0A954" w:rsidR="00146444" w:rsidRPr="00146444" w:rsidRDefault="00146444" w:rsidP="00B50B2C">
      <w:pPr>
        <w:jc w:val="both"/>
      </w:pPr>
      <w:r>
        <w:rPr>
          <w:sz w:val="16"/>
          <w:szCs w:val="16"/>
        </w:rPr>
        <w:t>Verze č. 2  - platná od 23. července 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39593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53D244" w14:textId="54256118" w:rsidR="008339F7" w:rsidRDefault="008339F7" w:rsidP="00B50B2C">
          <w:pPr>
            <w:pStyle w:val="Nadpisobsahu"/>
            <w:jc w:val="both"/>
          </w:pPr>
          <w:r>
            <w:t>Obsah</w:t>
          </w:r>
        </w:p>
        <w:p w14:paraId="655EE39E" w14:textId="77777777" w:rsidR="00146444" w:rsidRDefault="00B50B2C" w:rsidP="00B50B2C">
          <w:pPr>
            <w:pStyle w:val="Obsah2"/>
            <w:ind w:left="0"/>
            <w:jc w:val="both"/>
          </w:pPr>
          <w:r>
            <w:t xml:space="preserve">    </w:t>
          </w:r>
          <w:r w:rsidR="008339F7">
            <w:fldChar w:fldCharType="begin"/>
          </w:r>
          <w:r w:rsidR="008339F7">
            <w:instrText xml:space="preserve"> TOC \o "1-3" \h \z \u </w:instrText>
          </w:r>
          <w:r w:rsidR="008339F7">
            <w:fldChar w:fldCharType="separate"/>
          </w:r>
        </w:p>
        <w:p w14:paraId="044F0FD9" w14:textId="464621E8" w:rsidR="00146444" w:rsidRDefault="00146444">
          <w:pPr>
            <w:pStyle w:val="Obsah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1" w:history="1">
            <w:r w:rsidRPr="008C00AD">
              <w:rPr>
                <w:rStyle w:val="Hypertextovodkaz"/>
              </w:rPr>
              <w:t>1.1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</w:rPr>
              <w:t>přehled revizí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_Toc172628821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81FBD70" w14:textId="6BB5689A" w:rsidR="00146444" w:rsidRDefault="00146444">
          <w:pPr>
            <w:pStyle w:val="Obsah2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2" w:history="1">
            <w:r w:rsidRPr="008C00AD">
              <w:rPr>
                <w:rStyle w:val="Hypertextovodkaz"/>
              </w:rPr>
              <w:t>1.2</w:t>
            </w:r>
            <w:r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</w:rPr>
              <w:t>Výběr dodavatele veřejné zakázky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_Toc172628822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4B36814" w14:textId="10EC1A7A" w:rsidR="00146444" w:rsidRDefault="00146444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3" w:history="1"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1.3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Aplikované předpisy a obecné zásady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_Toc172628823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C7A72" w14:textId="20657E8F" w:rsidR="00146444" w:rsidRDefault="00146444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4" w:history="1"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1.4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Hodnotící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_Toc172628824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21D37" w14:textId="1BD6AFFF" w:rsidR="00146444" w:rsidRDefault="00146444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5" w:history="1"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1.5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Posouzení veřejných zakázek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_Toc172628825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78A7E" w14:textId="5B6EC7B2" w:rsidR="00146444" w:rsidRDefault="00146444">
          <w:pPr>
            <w:pStyle w:val="Obsah3"/>
            <w:tabs>
              <w:tab w:val="left" w:pos="880"/>
              <w:tab w:val="right" w:leader="dot" w:pos="9062"/>
            </w:tabs>
            <w:rPr>
              <w:rFonts w:eastAsiaTheme="minorEastAsia" w:cstheme="minorBidi"/>
              <w:noProof/>
              <w:kern w:val="2"/>
              <w:sz w:val="22"/>
              <w:szCs w:val="22"/>
              <w:lang w:eastAsia="cs-CZ"/>
              <w14:ligatures w14:val="standardContextual"/>
            </w:rPr>
          </w:pPr>
          <w:hyperlink w:anchor="_Toc172628826" w:history="1"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1.6</w:t>
            </w:r>
            <w:r>
              <w:rPr>
                <w:rFonts w:eastAsiaTheme="minorEastAsia" w:cstheme="minorBidi"/>
                <w:noProof/>
                <w:kern w:val="2"/>
                <w:sz w:val="22"/>
                <w:szCs w:val="22"/>
                <w:lang w:eastAsia="cs-CZ"/>
                <w14:ligatures w14:val="standardContextual"/>
              </w:rPr>
              <w:tab/>
            </w:r>
            <w:r w:rsidRPr="008C00AD">
              <w:rPr>
                <w:rStyle w:val="Hypertextovodkaz"/>
                <w:rFonts w:ascii="Segoe UI" w:eastAsia="Times New Roman" w:hAnsi="Segoe UI" w:cs="Segoe UI"/>
                <w:noProof/>
              </w:rPr>
              <w:t>Sankce v případě nedodržení pravidel pro zadávání zakázek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_Toc172628826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BA2A2" w14:textId="25624465" w:rsidR="006412C9" w:rsidRPr="008339F7" w:rsidRDefault="008339F7" w:rsidP="00B50B2C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280CC442" w14:textId="77777777" w:rsidR="006412C9" w:rsidRPr="006555C6" w:rsidRDefault="006412C9" w:rsidP="00B50B2C">
      <w:pPr>
        <w:pStyle w:val="Odstavecseseznamem"/>
        <w:keepNext/>
        <w:keepLines/>
        <w:numPr>
          <w:ilvl w:val="1"/>
          <w:numId w:val="13"/>
        </w:numPr>
        <w:spacing w:before="480" w:after="120" w:line="288" w:lineRule="auto"/>
        <w:jc w:val="both"/>
        <w:outlineLvl w:val="1"/>
        <w:rPr>
          <w:rFonts w:ascii="Segoe UI" w:eastAsia="Times New Roman" w:hAnsi="Segoe UI" w:cs="Segoe UI"/>
          <w:vanish/>
          <w:color w:val="FFFFFF" w:themeColor="background1"/>
          <w:sz w:val="14"/>
          <w:szCs w:val="14"/>
        </w:rPr>
      </w:pPr>
      <w:bookmarkStart w:id="2" w:name="_Toc138653247"/>
      <w:bookmarkStart w:id="3" w:name="_Toc138653358"/>
      <w:bookmarkStart w:id="4" w:name="_Toc138654048"/>
      <w:bookmarkStart w:id="5" w:name="_Toc138675352"/>
      <w:bookmarkStart w:id="6" w:name="_Toc138675768"/>
      <w:bookmarkStart w:id="7" w:name="_Toc172628820"/>
      <w:bookmarkEnd w:id="2"/>
      <w:bookmarkEnd w:id="3"/>
      <w:bookmarkEnd w:id="4"/>
      <w:bookmarkEnd w:id="5"/>
      <w:bookmarkEnd w:id="6"/>
      <w:bookmarkEnd w:id="7"/>
    </w:p>
    <w:p w14:paraId="51ACDABC" w14:textId="58E569EE" w:rsidR="00146444" w:rsidRDefault="00146444" w:rsidP="00B50B2C">
      <w:pPr>
        <w:pStyle w:val="Odstavecseseznamem"/>
        <w:keepNext/>
        <w:keepLines/>
        <w:numPr>
          <w:ilvl w:val="1"/>
          <w:numId w:val="13"/>
        </w:numPr>
        <w:spacing w:before="480" w:after="120" w:line="288" w:lineRule="auto"/>
        <w:jc w:val="both"/>
        <w:outlineLvl w:val="1"/>
        <w:rPr>
          <w:rFonts w:ascii="Segoe UI" w:eastAsia="Times New Roman" w:hAnsi="Segoe UI" w:cs="Segoe UI"/>
          <w:color w:val="004388"/>
          <w:sz w:val="24"/>
          <w:szCs w:val="24"/>
        </w:rPr>
      </w:pPr>
      <w:bookmarkStart w:id="8" w:name="_Toc138653248"/>
      <w:bookmarkStart w:id="9" w:name="_Toc172628821"/>
      <w:r>
        <w:rPr>
          <w:rFonts w:ascii="Segoe UI" w:eastAsia="Times New Roman" w:hAnsi="Segoe UI" w:cs="Segoe UI"/>
          <w:color w:val="004388"/>
          <w:sz w:val="24"/>
          <w:szCs w:val="24"/>
        </w:rPr>
        <w:t>přehled revizí</w:t>
      </w:r>
      <w:bookmarkEnd w:id="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6444" w14:paraId="24A37553" w14:textId="4A57C216" w:rsidTr="000D2ABA">
        <w:tc>
          <w:tcPr>
            <w:tcW w:w="2265" w:type="dxa"/>
          </w:tcPr>
          <w:p w14:paraId="3D82E2E0" w14:textId="76D829D3" w:rsidR="00146444" w:rsidRDefault="00146444" w:rsidP="00146444">
            <w:r>
              <w:t>Pořadové číslo revize</w:t>
            </w:r>
          </w:p>
        </w:tc>
        <w:tc>
          <w:tcPr>
            <w:tcW w:w="2265" w:type="dxa"/>
          </w:tcPr>
          <w:p w14:paraId="6146764D" w14:textId="58725C3E" w:rsidR="00146444" w:rsidRDefault="00146444" w:rsidP="00146444">
            <w:r>
              <w:t>Revidovaná kapitola</w:t>
            </w:r>
          </w:p>
        </w:tc>
        <w:tc>
          <w:tcPr>
            <w:tcW w:w="2266" w:type="dxa"/>
          </w:tcPr>
          <w:p w14:paraId="67355A63" w14:textId="6E965862" w:rsidR="00146444" w:rsidRDefault="00146444" w:rsidP="00146444">
            <w:r>
              <w:t>Obsah/popis revize</w:t>
            </w:r>
          </w:p>
        </w:tc>
        <w:tc>
          <w:tcPr>
            <w:tcW w:w="2266" w:type="dxa"/>
          </w:tcPr>
          <w:p w14:paraId="23BD9BDD" w14:textId="3A732F99" w:rsidR="00146444" w:rsidRDefault="00146444" w:rsidP="00146444">
            <w:r>
              <w:t>Platnost revize od</w:t>
            </w:r>
          </w:p>
        </w:tc>
      </w:tr>
      <w:tr w:rsidR="00146444" w14:paraId="24B911FD" w14:textId="3C1126E8" w:rsidTr="000D2ABA">
        <w:tc>
          <w:tcPr>
            <w:tcW w:w="2265" w:type="dxa"/>
          </w:tcPr>
          <w:p w14:paraId="2DD8C72C" w14:textId="724E6ACE" w:rsidR="00146444" w:rsidRDefault="00146444" w:rsidP="00146444">
            <w:r>
              <w:t>1</w:t>
            </w:r>
          </w:p>
        </w:tc>
        <w:tc>
          <w:tcPr>
            <w:tcW w:w="2265" w:type="dxa"/>
          </w:tcPr>
          <w:p w14:paraId="705DAA8A" w14:textId="71985E7F" w:rsidR="00146444" w:rsidRDefault="00146444" w:rsidP="00146444">
            <w:r>
              <w:t>1.5</w:t>
            </w:r>
          </w:p>
        </w:tc>
        <w:tc>
          <w:tcPr>
            <w:tcW w:w="2266" w:type="dxa"/>
          </w:tcPr>
          <w:p w14:paraId="54645BE1" w14:textId="34D147DE" w:rsidR="00146444" w:rsidRDefault="00146444" w:rsidP="00146444">
            <w:r>
              <w:t>Doplnění odkazu na předkládání dokumentace k veřejné zakázce v podmínkách programu ČR-PR</w:t>
            </w:r>
          </w:p>
        </w:tc>
        <w:tc>
          <w:tcPr>
            <w:tcW w:w="2266" w:type="dxa"/>
          </w:tcPr>
          <w:p w14:paraId="790E5FE7" w14:textId="7C862E4D" w:rsidR="00146444" w:rsidRDefault="00146444" w:rsidP="00146444">
            <w:r>
              <w:t>23. července 2024</w:t>
            </w:r>
          </w:p>
        </w:tc>
      </w:tr>
      <w:tr w:rsidR="00146444" w14:paraId="204A06C4" w14:textId="37822804" w:rsidTr="000D2ABA">
        <w:tc>
          <w:tcPr>
            <w:tcW w:w="2265" w:type="dxa"/>
          </w:tcPr>
          <w:p w14:paraId="6AF3E9B4" w14:textId="77777777" w:rsidR="00146444" w:rsidRDefault="00146444" w:rsidP="00146444"/>
        </w:tc>
        <w:tc>
          <w:tcPr>
            <w:tcW w:w="2265" w:type="dxa"/>
          </w:tcPr>
          <w:p w14:paraId="2A599395" w14:textId="77777777" w:rsidR="00146444" w:rsidRDefault="00146444" w:rsidP="00146444"/>
        </w:tc>
        <w:tc>
          <w:tcPr>
            <w:tcW w:w="2266" w:type="dxa"/>
          </w:tcPr>
          <w:p w14:paraId="497F71E7" w14:textId="77777777" w:rsidR="00146444" w:rsidRDefault="00146444" w:rsidP="00146444"/>
        </w:tc>
        <w:tc>
          <w:tcPr>
            <w:tcW w:w="2266" w:type="dxa"/>
          </w:tcPr>
          <w:p w14:paraId="1745E81D" w14:textId="77777777" w:rsidR="00146444" w:rsidRDefault="00146444" w:rsidP="00146444"/>
        </w:tc>
      </w:tr>
      <w:tr w:rsidR="00146444" w14:paraId="3BB7CDD0" w14:textId="6FE65F06" w:rsidTr="000D2ABA">
        <w:tc>
          <w:tcPr>
            <w:tcW w:w="2265" w:type="dxa"/>
          </w:tcPr>
          <w:p w14:paraId="52F2458C" w14:textId="77777777" w:rsidR="00146444" w:rsidRDefault="00146444" w:rsidP="00146444"/>
        </w:tc>
        <w:tc>
          <w:tcPr>
            <w:tcW w:w="2265" w:type="dxa"/>
          </w:tcPr>
          <w:p w14:paraId="3362FC7A" w14:textId="77777777" w:rsidR="00146444" w:rsidRDefault="00146444" w:rsidP="00146444"/>
        </w:tc>
        <w:tc>
          <w:tcPr>
            <w:tcW w:w="2266" w:type="dxa"/>
          </w:tcPr>
          <w:p w14:paraId="777CAE62" w14:textId="77777777" w:rsidR="00146444" w:rsidRDefault="00146444" w:rsidP="00146444"/>
        </w:tc>
        <w:tc>
          <w:tcPr>
            <w:tcW w:w="2266" w:type="dxa"/>
          </w:tcPr>
          <w:p w14:paraId="73D855BF" w14:textId="77777777" w:rsidR="00146444" w:rsidRDefault="00146444" w:rsidP="00146444"/>
        </w:tc>
      </w:tr>
      <w:tr w:rsidR="00146444" w14:paraId="30CB9006" w14:textId="77777777" w:rsidTr="000D2ABA">
        <w:tc>
          <w:tcPr>
            <w:tcW w:w="2265" w:type="dxa"/>
          </w:tcPr>
          <w:p w14:paraId="31F151F2" w14:textId="77777777" w:rsidR="00146444" w:rsidRDefault="00146444" w:rsidP="00146444"/>
        </w:tc>
        <w:tc>
          <w:tcPr>
            <w:tcW w:w="2265" w:type="dxa"/>
          </w:tcPr>
          <w:p w14:paraId="11E18164" w14:textId="77777777" w:rsidR="00146444" w:rsidRDefault="00146444" w:rsidP="00146444"/>
        </w:tc>
        <w:tc>
          <w:tcPr>
            <w:tcW w:w="2266" w:type="dxa"/>
          </w:tcPr>
          <w:p w14:paraId="132D8FF4" w14:textId="77777777" w:rsidR="00146444" w:rsidRDefault="00146444" w:rsidP="00146444"/>
        </w:tc>
        <w:tc>
          <w:tcPr>
            <w:tcW w:w="2266" w:type="dxa"/>
          </w:tcPr>
          <w:p w14:paraId="55F84713" w14:textId="77777777" w:rsidR="00146444" w:rsidRDefault="00146444" w:rsidP="00146444"/>
        </w:tc>
      </w:tr>
    </w:tbl>
    <w:p w14:paraId="34EE52DD" w14:textId="77777777" w:rsidR="00146444" w:rsidRPr="00146444" w:rsidRDefault="00146444" w:rsidP="00146444">
      <w:pPr>
        <w:keepNext/>
        <w:keepLines/>
        <w:spacing w:before="480" w:after="120" w:line="288" w:lineRule="auto"/>
        <w:jc w:val="both"/>
        <w:outlineLvl w:val="1"/>
        <w:rPr>
          <w:rFonts w:ascii="Segoe UI" w:eastAsia="Times New Roman" w:hAnsi="Segoe UI" w:cs="Segoe UI"/>
          <w:color w:val="004388"/>
          <w:sz w:val="24"/>
          <w:szCs w:val="24"/>
        </w:rPr>
      </w:pPr>
    </w:p>
    <w:p w14:paraId="7A439A61" w14:textId="4E5C9AD6" w:rsidR="00F906F8" w:rsidRPr="00421632" w:rsidRDefault="00F906F8" w:rsidP="00B50B2C">
      <w:pPr>
        <w:pStyle w:val="Odstavecseseznamem"/>
        <w:keepNext/>
        <w:keepLines/>
        <w:numPr>
          <w:ilvl w:val="1"/>
          <w:numId w:val="13"/>
        </w:numPr>
        <w:spacing w:before="480" w:after="120" w:line="288" w:lineRule="auto"/>
        <w:jc w:val="both"/>
        <w:outlineLvl w:val="1"/>
        <w:rPr>
          <w:rFonts w:ascii="Segoe UI" w:eastAsia="Times New Roman" w:hAnsi="Segoe UI" w:cs="Segoe UI"/>
          <w:color w:val="004388"/>
          <w:sz w:val="24"/>
          <w:szCs w:val="24"/>
        </w:rPr>
      </w:pPr>
      <w:bookmarkStart w:id="10" w:name="_Toc172628822"/>
      <w:r w:rsidRPr="00421632">
        <w:rPr>
          <w:rFonts w:ascii="Segoe UI" w:eastAsia="Times New Roman" w:hAnsi="Segoe UI" w:cs="Segoe UI"/>
          <w:color w:val="004388"/>
          <w:sz w:val="24"/>
          <w:szCs w:val="24"/>
        </w:rPr>
        <w:t>Výběr dodavatele veřejné zakázky</w:t>
      </w:r>
      <w:bookmarkEnd w:id="0"/>
      <w:bookmarkEnd w:id="1"/>
      <w:bookmarkEnd w:id="8"/>
      <w:bookmarkEnd w:id="10"/>
    </w:p>
    <w:p w14:paraId="0E868782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část aktivit nebude zabezpečena partnerem, ale bude realizována na základě jedné nebo více smluv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dodávce zboží, služeb či stavebních prací, musí partner při uzavírání takových smluv postupovat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souladu s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národní legislativou a pravidly Programu, přičemž toto platí i u veřejných zakázek zadávaných ve fázi přípravy projektu a projektové žádosti. </w:t>
      </w:r>
      <w:bookmarkStart w:id="11" w:name="_Hlk135121467"/>
      <w:r w:rsidRPr="00E15AA9">
        <w:rPr>
          <w:rFonts w:ascii="Segoe UI" w:eastAsia="Segoe UI" w:hAnsi="Segoe UI" w:cs="Times New Roman"/>
          <w:sz w:val="20"/>
        </w:rPr>
        <w:t>Zadavatel je povinen uchovávat dokumentaci o</w:t>
      </w:r>
      <w:r>
        <w:rPr>
          <w:rFonts w:ascii="Segoe UI" w:eastAsia="Segoe UI" w:hAnsi="Segoe UI" w:cs="Times New Roman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>zakázce a záznamy o</w:t>
      </w:r>
      <w:r>
        <w:rPr>
          <w:rFonts w:ascii="Segoe UI" w:eastAsia="Segoe UI" w:hAnsi="Segoe UI" w:cs="Times New Roman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>elektronických úkonech související se zadáním zakázky. Dokumentací o</w:t>
      </w:r>
      <w:r>
        <w:rPr>
          <w:rFonts w:ascii="Segoe UI" w:eastAsia="Segoe UI" w:hAnsi="Segoe UI" w:cs="Times New Roman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>zakázce se rozumí souhrn všech dokumentů v</w:t>
      </w:r>
      <w:r>
        <w:rPr>
          <w:rFonts w:ascii="Segoe UI" w:eastAsia="Segoe UI" w:hAnsi="Segoe UI" w:cs="Times New Roman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>listinné či elektronické podobě, jejichž pořízení v</w:t>
      </w:r>
      <w:r>
        <w:rPr>
          <w:rFonts w:ascii="Segoe UI" w:eastAsia="Segoe UI" w:hAnsi="Segoe UI" w:cs="Times New Roman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 xml:space="preserve">průběhu výběrového řízení, popř. po jeho ukončení vyžaduje Metodicky pokyn </w:t>
      </w:r>
      <w:r w:rsidRPr="00E15AA9">
        <w:rPr>
          <w:rFonts w:ascii="Segoe UI" w:eastAsia="Segoe UI" w:hAnsi="Segoe UI" w:cs="Segoe UI"/>
          <w:sz w:val="20"/>
        </w:rPr>
        <w:t>pro oblast zadávání zakázek pro programové období 2021-2027</w:t>
      </w:r>
      <w:r w:rsidRPr="00E15AA9">
        <w:rPr>
          <w:rFonts w:ascii="Franklin Gothic Book" w:eastAsia="Segoe UI" w:hAnsi="Franklin Gothic Book" w:cs="Segoe UI"/>
          <w:position w:val="4"/>
          <w:sz w:val="14"/>
          <w:vertAlign w:val="superscript"/>
        </w:rPr>
        <w:footnoteReference w:id="1"/>
      </w:r>
      <w:r>
        <w:rPr>
          <w:rFonts w:ascii="Segoe UI" w:eastAsia="Segoe UI" w:hAnsi="Segoe UI" w:cs="Segoe UI"/>
          <w:sz w:val="20"/>
        </w:rPr>
        <w:t xml:space="preserve">, respektive zadávacího řízení dle zákona </w:t>
      </w:r>
      <w:r w:rsidRPr="000B7A34">
        <w:rPr>
          <w:rFonts w:ascii="Segoe UI" w:eastAsia="Segoe UI" w:hAnsi="Segoe UI" w:cs="Segoe UI"/>
          <w:kern w:val="14"/>
          <w:sz w:val="20"/>
          <w:szCs w:val="20"/>
        </w:rPr>
        <w:t xml:space="preserve">č. 134/2016 Sb., </w:t>
      </w:r>
      <w:r>
        <w:rPr>
          <w:rFonts w:ascii="Segoe UI" w:eastAsia="Segoe UI" w:hAnsi="Segoe UI" w:cs="Segoe UI"/>
          <w:sz w:val="20"/>
        </w:rPr>
        <w:t>o zadávání veřejných zakázek (dále jen „zákon“ nebo „ZZVZ“)</w:t>
      </w:r>
      <w:r w:rsidRPr="00E15AA9">
        <w:rPr>
          <w:rFonts w:ascii="Segoe UI" w:eastAsia="Segoe UI" w:hAnsi="Segoe UI" w:cs="Times New Roman"/>
          <w:sz w:val="20"/>
        </w:rPr>
        <w:t>.</w:t>
      </w:r>
    </w:p>
    <w:bookmarkEnd w:id="11"/>
    <w:p w14:paraId="5A093AE6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Hlavním smyslem zadávacích a výběrových řízení je umožnit rovný přístup všem potenciálním dodavatelům a zajistit hospodárné nakládání s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veřejnými prostředky. Z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toho důvodu je nutné klást důraz nejen na dodržování procedur, ale i na naplnění základních zásad a principů (zásady transparentnosti, </w:t>
      </w:r>
      <w:r w:rsidRPr="00E15AA9">
        <w:rPr>
          <w:rFonts w:ascii="Segoe UI" w:eastAsia="Segoe UI" w:hAnsi="Segoe UI" w:cs="Segoe UI"/>
          <w:sz w:val="20"/>
        </w:rPr>
        <w:lastRenderedPageBreak/>
        <w:t>přiměřenosti, rovného zacházení a zákazu diskriminace</w:t>
      </w:r>
      <w:r w:rsidRPr="00E15AA9">
        <w:rPr>
          <w:rFonts w:ascii="Segoe UI" w:eastAsia="Segoe UI" w:hAnsi="Segoe UI" w:cs="Segoe UI"/>
          <w:position w:val="4"/>
          <w:sz w:val="14"/>
          <w:vertAlign w:val="superscript"/>
        </w:rPr>
        <w:footnoteReference w:id="2"/>
      </w:r>
      <w:r w:rsidRPr="00E15AA9">
        <w:rPr>
          <w:rFonts w:ascii="Segoe UI" w:eastAsia="Segoe UI" w:hAnsi="Segoe UI" w:cs="Segoe UI"/>
          <w:sz w:val="20"/>
        </w:rPr>
        <w:t>, principů hospodárnosti, efektivnosti a účelnosti</w:t>
      </w:r>
      <w:r w:rsidRPr="00E15AA9">
        <w:rPr>
          <w:rFonts w:ascii="Segoe UI" w:eastAsia="Segoe UI" w:hAnsi="Segoe UI" w:cs="Segoe UI"/>
          <w:position w:val="4"/>
          <w:sz w:val="14"/>
          <w:vertAlign w:val="superscript"/>
        </w:rPr>
        <w:footnoteReference w:id="3"/>
      </w:r>
      <w:r w:rsidRPr="00E15AA9">
        <w:rPr>
          <w:rFonts w:ascii="Segoe UI" w:eastAsia="Segoe UI" w:hAnsi="Segoe UI" w:cs="Segoe UI"/>
          <w:sz w:val="20"/>
        </w:rPr>
        <w:t>).</w:t>
      </w:r>
      <w:r>
        <w:rPr>
          <w:rFonts w:ascii="Segoe UI" w:eastAsia="Segoe UI" w:hAnsi="Segoe UI" w:cs="Segoe UI"/>
          <w:sz w:val="20"/>
        </w:rPr>
        <w:t xml:space="preserve"> V případech, kde je to vhodné, je při zadávání veřejných zakázek podle zákona též nezbytné zohlednit zásady sociálně odpovědného zadávání, environmentálně odpovědného zadávání a inovací.</w:t>
      </w:r>
    </w:p>
    <w:p w14:paraId="2F257DFF" w14:textId="6B3E9EDE" w:rsidR="00F906F8" w:rsidRPr="00421632" w:rsidRDefault="00F906F8" w:rsidP="00B50B2C">
      <w:pPr>
        <w:pStyle w:val="Odstavecseseznamem"/>
        <w:keepNext/>
        <w:keepLines/>
        <w:numPr>
          <w:ilvl w:val="1"/>
          <w:numId w:val="13"/>
        </w:numPr>
        <w:spacing w:after="120" w:line="288" w:lineRule="auto"/>
        <w:jc w:val="both"/>
        <w:outlineLvl w:val="2"/>
        <w:rPr>
          <w:rFonts w:ascii="Segoe UI" w:eastAsia="Times New Roman" w:hAnsi="Segoe UI" w:cs="Segoe UI"/>
          <w:vanish/>
          <w:color w:val="004388"/>
          <w:sz w:val="24"/>
          <w:szCs w:val="24"/>
        </w:rPr>
      </w:pPr>
      <w:bookmarkStart w:id="12" w:name="_Toc133318067"/>
      <w:bookmarkStart w:id="13" w:name="_Ref62160334"/>
      <w:bookmarkStart w:id="14" w:name="_Toc138653249"/>
      <w:bookmarkStart w:id="15" w:name="_Toc172628823"/>
      <w:r w:rsidRPr="00421632">
        <w:rPr>
          <w:rFonts w:ascii="Segoe UI" w:eastAsia="Times New Roman" w:hAnsi="Segoe UI" w:cs="Segoe UI"/>
          <w:color w:val="004388"/>
          <w:sz w:val="24"/>
          <w:szCs w:val="24"/>
        </w:rPr>
        <w:t xml:space="preserve">Aplikované předpisy a obecné </w:t>
      </w:r>
      <w:proofErr w:type="spellStart"/>
      <w:r w:rsidRPr="00421632">
        <w:rPr>
          <w:rFonts w:ascii="Segoe UI" w:eastAsia="Times New Roman" w:hAnsi="Segoe UI" w:cs="Segoe UI"/>
          <w:color w:val="004388"/>
          <w:sz w:val="24"/>
          <w:szCs w:val="24"/>
        </w:rPr>
        <w:t>zásady</w:t>
      </w:r>
      <w:bookmarkEnd w:id="12"/>
      <w:bookmarkEnd w:id="13"/>
      <w:bookmarkEnd w:id="14"/>
      <w:bookmarkEnd w:id="15"/>
    </w:p>
    <w:p w14:paraId="7D1BC927" w14:textId="77777777" w:rsidR="00146444" w:rsidRDefault="00146444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proofErr w:type="spellEnd"/>
    </w:p>
    <w:p w14:paraId="4C5F5D74" w14:textId="7A99E60F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 českých partnerů je povinnost při zadávání veřejných zakázek postupovat v</w:t>
      </w:r>
      <w:r>
        <w:rPr>
          <w:rFonts w:ascii="Segoe UI" w:eastAsia="Segoe UI" w:hAnsi="Segoe UI" w:cs="Segoe UI"/>
          <w:sz w:val="20"/>
        </w:rPr>
        <w:t xml:space="preserve"> </w:t>
      </w:r>
      <w:r w:rsidRPr="00E15AA9">
        <w:rPr>
          <w:rFonts w:ascii="Segoe UI" w:eastAsia="Segoe UI" w:hAnsi="Segoe UI" w:cs="Segoe UI"/>
          <w:sz w:val="20"/>
        </w:rPr>
        <w:t>souladu:</w:t>
      </w:r>
    </w:p>
    <w:p w14:paraId="0190FF5D" w14:textId="77777777" w:rsidR="00F906F8" w:rsidRPr="00BD4E9E" w:rsidRDefault="00F906F8" w:rsidP="00B50B2C">
      <w:pPr>
        <w:numPr>
          <w:ilvl w:val="0"/>
          <w:numId w:val="2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20"/>
          <w:szCs w:val="20"/>
        </w:rPr>
      </w:pPr>
      <w:r w:rsidRPr="00BD4E9E">
        <w:rPr>
          <w:rFonts w:ascii="Segoe UI" w:eastAsia="Segoe UI" w:hAnsi="Segoe UI" w:cs="Segoe UI"/>
          <w:kern w:val="14"/>
          <w:sz w:val="20"/>
          <w:szCs w:val="20"/>
        </w:rPr>
        <w:t>se zákonem o zadávání veřejných zakázek, a souvisejícími zákony, vyhláškami a metodickými postupy;</w:t>
      </w:r>
    </w:p>
    <w:p w14:paraId="32A14C8E" w14:textId="77777777" w:rsidR="00F906F8" w:rsidRPr="00BD4E9E" w:rsidRDefault="00F906F8" w:rsidP="00B50B2C">
      <w:pPr>
        <w:numPr>
          <w:ilvl w:val="0"/>
          <w:numId w:val="2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20"/>
          <w:szCs w:val="20"/>
        </w:rPr>
      </w:pPr>
      <w:r w:rsidRPr="00BD4E9E">
        <w:rPr>
          <w:rFonts w:ascii="Segoe UI" w:eastAsia="Segoe UI" w:hAnsi="Segoe UI" w:cs="Segoe UI"/>
          <w:kern w:val="14"/>
          <w:sz w:val="20"/>
          <w:szCs w:val="20"/>
        </w:rPr>
        <w:t>v případě veřejných zakázek, jejichž zadávání citovaný zákon blíže neupravuje (zejména veřejné zakázky malého rozsahu), je partner povinen postupovat v souladu s Metodickým pokynem pro oblast zadávání zakázek pro programové období 2021-2027.</w:t>
      </w:r>
    </w:p>
    <w:p w14:paraId="7102BF26" w14:textId="60A9F9FF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organizaci partnera platí vlastní postupy pro zadávání veřejných zakázek, může je partner aplikovat, pokud splňují minimálně požadavky stanovené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zákoně, resp.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Metodickém pokynu pro oblast zadávání zakázek pro programové období 2021-2027.</w:t>
      </w:r>
    </w:p>
    <w:p w14:paraId="116BF8CD" w14:textId="7ACD42E7" w:rsidR="00F906F8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Upozorňujeme, že zadávací a výběrová řízení musí být realizována tak, aby respektovala zásady a principy uvedené v</w:t>
      </w:r>
      <w:r>
        <w:rPr>
          <w:rFonts w:ascii="Segoe UI" w:eastAsia="Segoe UI" w:hAnsi="Segoe UI" w:cs="Segoe UI"/>
          <w:sz w:val="20"/>
        </w:rPr>
        <w:t xml:space="preserve"> ustanovení </w:t>
      </w:r>
      <w:r w:rsidRPr="00E15AA9">
        <w:rPr>
          <w:rFonts w:ascii="Segoe UI" w:eastAsia="Segoe UI" w:hAnsi="Segoe UI" w:cs="Segoe UI"/>
          <w:sz w:val="20"/>
        </w:rPr>
        <w:t>§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2 zákona č.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320/2001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Sb. (zákon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finanční kontrole)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platném znění, a §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6 zákona o zadávání veřejných zakázek, bez ohledu na to, zda jsou postupy pro jejich zadávání upraveny přímo </w:t>
      </w:r>
      <w:r>
        <w:rPr>
          <w:rFonts w:ascii="Segoe UI" w:eastAsia="Segoe UI" w:hAnsi="Segoe UI" w:cs="Segoe UI"/>
          <w:sz w:val="20"/>
        </w:rPr>
        <w:t xml:space="preserve">citovaným </w:t>
      </w:r>
      <w:r w:rsidRPr="00E15AA9">
        <w:rPr>
          <w:rFonts w:ascii="Segoe UI" w:eastAsia="Segoe UI" w:hAnsi="Segoe UI" w:cs="Segoe UI"/>
          <w:sz w:val="20"/>
        </w:rPr>
        <w:t>zákonem o zadávání veřejných zakázek nebo jinými pravidly, a jejich dodržení je předmětem posouzení zadávacích a výběrových řízení Kontrolorem.</w:t>
      </w:r>
    </w:p>
    <w:p w14:paraId="76348033" w14:textId="77777777" w:rsidR="00F906F8" w:rsidRPr="006A13B3" w:rsidRDefault="00F906F8" w:rsidP="00B50B2C">
      <w:pPr>
        <w:jc w:val="both"/>
        <w:rPr>
          <w:rFonts w:cstheme="minorHAnsi"/>
        </w:rPr>
      </w:pPr>
      <w:r w:rsidRPr="006A13B3">
        <w:rPr>
          <w:rFonts w:cstheme="minorHAnsi"/>
        </w:rPr>
        <w:t>Partner, který je zadavatelem dle §</w:t>
      </w:r>
      <w:r>
        <w:rPr>
          <w:rFonts w:cstheme="minorHAnsi"/>
        </w:rPr>
        <w:t> </w:t>
      </w:r>
      <w:r w:rsidRPr="006A13B3">
        <w:rPr>
          <w:rFonts w:cstheme="minorHAnsi"/>
        </w:rPr>
        <w:t xml:space="preserve">4 ZZVZ, musí také při zadání zakázky dodržet </w:t>
      </w:r>
      <w:r w:rsidRPr="006A13B3">
        <w:rPr>
          <w:rFonts w:cstheme="minorHAnsi"/>
          <w:b/>
          <w:bCs/>
        </w:rPr>
        <w:t>ustanovení §</w:t>
      </w:r>
      <w:r>
        <w:rPr>
          <w:rFonts w:cstheme="minorHAnsi"/>
          <w:b/>
          <w:bCs/>
        </w:rPr>
        <w:t> </w:t>
      </w:r>
      <w:r w:rsidRPr="006A13B3">
        <w:rPr>
          <w:rFonts w:cstheme="minorHAnsi"/>
          <w:b/>
          <w:bCs/>
        </w:rPr>
        <w:t>4b zákona č.</w:t>
      </w:r>
      <w:r>
        <w:rPr>
          <w:rFonts w:cstheme="minorHAnsi"/>
          <w:b/>
          <w:bCs/>
        </w:rPr>
        <w:t> </w:t>
      </w:r>
      <w:r w:rsidRPr="006A13B3">
        <w:rPr>
          <w:rFonts w:cstheme="minorHAnsi"/>
          <w:b/>
          <w:bCs/>
        </w:rPr>
        <w:t>159/2006 Sb., o střetu zájmů</w:t>
      </w:r>
      <w:r w:rsidRPr="006A13B3">
        <w:rPr>
          <w:rFonts w:cstheme="minorHAnsi"/>
        </w:rPr>
        <w:t>, ve znění pozdějších předpisů, který stanovuje, že zadavatel je povinen vyloučit ze zadávacího řízení obchodní společnost, ve které veřejný funkcionář uvedený v</w:t>
      </w:r>
      <w:r>
        <w:rPr>
          <w:rFonts w:cstheme="minorHAnsi"/>
        </w:rPr>
        <w:t> </w:t>
      </w:r>
      <w:r w:rsidRPr="006A13B3">
        <w:rPr>
          <w:rFonts w:cstheme="minorHAnsi"/>
        </w:rPr>
        <w:t>§ 2 odst. 1 písm. c) zákona o střetu zájmů nebo jím ovládaná osoba vlastní podíl představující alespoň 25</w:t>
      </w:r>
      <w:r>
        <w:rPr>
          <w:rFonts w:cstheme="minorHAnsi"/>
        </w:rPr>
        <w:t> </w:t>
      </w:r>
      <w:r w:rsidRPr="006A13B3">
        <w:rPr>
          <w:rFonts w:cstheme="minorHAnsi"/>
        </w:rPr>
        <w:t xml:space="preserve">% účasti společníka v obchodní společnosti. Zadavatel nesmí takové obchodní společnosti zadat ani veřejnou zakázku malého rozsahu, takové jednání je neplatné. </w:t>
      </w:r>
    </w:p>
    <w:p w14:paraId="5727196A" w14:textId="48717B1A" w:rsidR="00F906F8" w:rsidRPr="006A13B3" w:rsidRDefault="00F906F8" w:rsidP="00B50B2C">
      <w:pPr>
        <w:jc w:val="both"/>
        <w:rPr>
          <w:rFonts w:cstheme="minorHAnsi"/>
        </w:rPr>
      </w:pPr>
      <w:r w:rsidRPr="006A13B3">
        <w:rPr>
          <w:rFonts w:cstheme="minorHAnsi"/>
        </w:rPr>
        <w:t xml:space="preserve">Kromě příslušné národní legislativy a pravidel musí partneři při výběru dodavatele dodržovat také přímo použitelné právní předpisy Evropské unie. V této souvislosti upozorňujeme zejména na </w:t>
      </w:r>
      <w:r w:rsidRPr="006A13B3">
        <w:rPr>
          <w:rFonts w:cstheme="minorHAnsi"/>
          <w:b/>
          <w:bCs/>
        </w:rPr>
        <w:t xml:space="preserve">nařízení </w:t>
      </w:r>
      <w:r>
        <w:rPr>
          <w:rFonts w:cstheme="minorHAnsi"/>
          <w:b/>
          <w:bCs/>
        </w:rPr>
        <w:t xml:space="preserve">Rady </w:t>
      </w:r>
      <w:r w:rsidRPr="006A13B3">
        <w:rPr>
          <w:rFonts w:cstheme="minorHAnsi"/>
          <w:b/>
          <w:bCs/>
        </w:rPr>
        <w:t>(EU) 2022/576 ze dne 8. dubna 2022, kterým se mění nařízení (EU) č.</w:t>
      </w:r>
      <w:r>
        <w:rPr>
          <w:rFonts w:cstheme="minorHAnsi"/>
          <w:b/>
          <w:bCs/>
        </w:rPr>
        <w:t> </w:t>
      </w:r>
      <w:r w:rsidRPr="006A13B3">
        <w:rPr>
          <w:rFonts w:cstheme="minorHAnsi"/>
          <w:b/>
          <w:bCs/>
        </w:rPr>
        <w:t>833/2014 o</w:t>
      </w:r>
      <w:r>
        <w:rPr>
          <w:rFonts w:cstheme="minorHAnsi"/>
          <w:b/>
          <w:bCs/>
        </w:rPr>
        <w:t> </w:t>
      </w:r>
      <w:r w:rsidRPr="006A13B3">
        <w:rPr>
          <w:rFonts w:cstheme="minorHAnsi"/>
          <w:b/>
          <w:bCs/>
        </w:rPr>
        <w:t>omezujících opatřeních vzhledem k činnostem Ruska destabilizujícím situaci na Ukrajině</w:t>
      </w:r>
      <w:r w:rsidRPr="006A13B3">
        <w:rPr>
          <w:rFonts w:cstheme="minorHAnsi"/>
        </w:rPr>
        <w:t>, na základě kterého musí z</w:t>
      </w:r>
      <w:r>
        <w:rPr>
          <w:rFonts w:cstheme="minorHAnsi"/>
        </w:rPr>
        <w:t> </w:t>
      </w:r>
      <w:r w:rsidRPr="006A13B3">
        <w:rPr>
          <w:rFonts w:cstheme="minorHAnsi"/>
        </w:rPr>
        <w:t>řízení o</w:t>
      </w:r>
      <w:r>
        <w:rPr>
          <w:rFonts w:cstheme="minorHAnsi"/>
        </w:rPr>
        <w:t> </w:t>
      </w:r>
      <w:r w:rsidRPr="006A13B3">
        <w:rPr>
          <w:rFonts w:cstheme="minorHAnsi"/>
        </w:rPr>
        <w:t>zadávání veřejných zakázek nebo soutěže příjemce</w:t>
      </w:r>
      <w:r w:rsidR="006458E1">
        <w:rPr>
          <w:rFonts w:cstheme="minorHAnsi"/>
        </w:rPr>
        <w:t>/partner</w:t>
      </w:r>
      <w:r w:rsidRPr="006A13B3">
        <w:rPr>
          <w:rFonts w:cstheme="minorHAnsi"/>
        </w:rPr>
        <w:t xml:space="preserve"> vyloučit osoby a subjekty zapsané na unijních nebo vnitrostátních sankčních seznamech v souvislosti s</w:t>
      </w:r>
      <w:r>
        <w:rPr>
          <w:rFonts w:cstheme="minorHAnsi"/>
        </w:rPr>
        <w:t> </w:t>
      </w:r>
      <w:r w:rsidRPr="006A13B3">
        <w:rPr>
          <w:rFonts w:cstheme="minorHAnsi"/>
        </w:rPr>
        <w:t>jednáním Ruska destabilizujícím situaci na Ukrajině nebo subjekt, který je spojen s osobami nebo subjekty na těchto seznamech.</w:t>
      </w:r>
    </w:p>
    <w:p w14:paraId="67C5220C" w14:textId="681FEA53" w:rsidR="0068231B" w:rsidRPr="00421632" w:rsidRDefault="0068231B" w:rsidP="00B50B2C">
      <w:pPr>
        <w:pStyle w:val="Odstavecseseznamem"/>
        <w:keepNext/>
        <w:keepLines/>
        <w:numPr>
          <w:ilvl w:val="1"/>
          <w:numId w:val="13"/>
        </w:numPr>
        <w:spacing w:after="120" w:line="288" w:lineRule="auto"/>
        <w:jc w:val="both"/>
        <w:outlineLvl w:val="2"/>
        <w:rPr>
          <w:rFonts w:ascii="Segoe UI" w:eastAsia="Times New Roman" w:hAnsi="Segoe UI" w:cs="Segoe UI"/>
          <w:vanish/>
          <w:color w:val="004388"/>
          <w:sz w:val="24"/>
          <w:szCs w:val="24"/>
        </w:rPr>
      </w:pPr>
      <w:bookmarkStart w:id="16" w:name="_Toc172628824"/>
      <w:r>
        <w:rPr>
          <w:rFonts w:ascii="Segoe UI" w:eastAsia="Times New Roman" w:hAnsi="Segoe UI" w:cs="Segoe UI"/>
          <w:color w:val="004388"/>
          <w:sz w:val="24"/>
          <w:szCs w:val="24"/>
        </w:rPr>
        <w:t>Hodnotící kritéria</w:t>
      </w:r>
      <w:bookmarkEnd w:id="16"/>
    </w:p>
    <w:p w14:paraId="6484DBAC" w14:textId="77777777" w:rsidR="004F375E" w:rsidRDefault="004F375E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</w:p>
    <w:p w14:paraId="36C0BCA3" w14:textId="72488E3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Jako hodnoticí kritérium pro výběr nabídky je stanovena ekonomická výhodnost nabídky v souladu s</w:t>
      </w:r>
      <w:r>
        <w:rPr>
          <w:rFonts w:ascii="Segoe UI" w:eastAsia="Segoe UI" w:hAnsi="Segoe UI" w:cs="Segoe UI"/>
          <w:sz w:val="20"/>
        </w:rPr>
        <w:t xml:space="preserve"> ustanovením </w:t>
      </w:r>
      <w:r w:rsidRPr="00E15AA9">
        <w:rPr>
          <w:rFonts w:ascii="Segoe UI" w:eastAsia="Segoe UI" w:hAnsi="Segoe UI" w:cs="Segoe UI"/>
          <w:sz w:val="20"/>
        </w:rPr>
        <w:t>§ 114 odst. 1 zákona č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zadávání veřejných zakázek.</w:t>
      </w:r>
    </w:p>
    <w:p w14:paraId="1B117FA6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Ekonomická výhodnost nabídek se hodnotí na základě nejvýhodnějšího poměru nabídkové ceny a kvality včetně poměru nákladů životního cyklu a kvality. Zadavatel může ekonomickou výhodnost nabídek hodnotit také podle nejnižší nabídkové ceny nebo nejnižších nákladů životního cyklu</w:t>
      </w:r>
      <w:r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095AD342" w14:textId="77777777" w:rsidR="00F906F8" w:rsidRPr="00E15AA9" w:rsidRDefault="00F906F8" w:rsidP="00B50B2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E15A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lastRenderedPageBreak/>
        <w:t>Zadavatel musí v</w:t>
      </w: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  <w:r w:rsidRPr="00E15A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zadávací dokumentaci stanovit pravidla pro hodnocení nabídek, která zahrnují kritéria hodnocení, metodu vyhodnocení nabídek v</w:t>
      </w: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 </w:t>
      </w:r>
      <w:r w:rsidRPr="00E15AA9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jednotlivých kritériích a váhu nebo jiný matematický vztah mezi kritérii.</w:t>
      </w:r>
    </w:p>
    <w:p w14:paraId="7C67372E" w14:textId="77777777" w:rsidR="00F906F8" w:rsidRPr="00E15AA9" w:rsidRDefault="00F906F8" w:rsidP="00B50B2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6EA31741" w14:textId="218E6057" w:rsidR="006412C9" w:rsidRPr="006412C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Dílčí hodnoticí kritéria se musí vztahovat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Times New Roman"/>
          <w:sz w:val="20"/>
        </w:rPr>
        <w:t xml:space="preserve">předmětu veřejné </w:t>
      </w:r>
      <w:r w:rsidRPr="00E15AA9">
        <w:rPr>
          <w:rFonts w:ascii="Segoe UI" w:eastAsia="Segoe UI" w:hAnsi="Segoe UI" w:cs="Segoe UI"/>
          <w:sz w:val="20"/>
        </w:rPr>
        <w:t xml:space="preserve">zakázky. Mohou jimi být zejména nabídková cena a kritéria kvality dle § 116 odst. 2 </w:t>
      </w:r>
      <w:r>
        <w:rPr>
          <w:rFonts w:ascii="Segoe UI" w:eastAsia="Segoe UI" w:hAnsi="Segoe UI" w:cs="Segoe UI"/>
          <w:sz w:val="20"/>
        </w:rPr>
        <w:t>zákona o zadávání veřejných zakázek</w:t>
      </w:r>
      <w:r w:rsidRPr="00E15AA9">
        <w:rPr>
          <w:rFonts w:ascii="Segoe UI" w:eastAsia="Segoe UI" w:hAnsi="Segoe UI" w:cs="Segoe UI"/>
          <w:sz w:val="20"/>
        </w:rPr>
        <w:t xml:space="preserve">, jako např. technická úroveň nabízeného plnění, estetické a funkční vlastnosti, uživatelská přístupnost, </w:t>
      </w:r>
      <w:r w:rsidRPr="00E15AA9">
        <w:rPr>
          <w:rFonts w:ascii="Segoe UI" w:eastAsia="Segoe UI" w:hAnsi="Segoe UI" w:cs="Segoe UI"/>
          <w:color w:val="000000"/>
          <w:sz w:val="20"/>
          <w:szCs w:val="20"/>
          <w:shd w:val="clear" w:color="auto" w:fill="FFFFFF"/>
        </w:rPr>
        <w:t>sociální, environmentální nebo inovační aspekty aj</w:t>
      </w:r>
      <w:r w:rsidRPr="00E15AA9">
        <w:rPr>
          <w:rFonts w:ascii="Segoe UI" w:eastAsia="Segoe UI" w:hAnsi="Segoe UI" w:cs="Segoe UI"/>
          <w:sz w:val="20"/>
        </w:rPr>
        <w:t>., resp. jejich vyváženost.</w:t>
      </w:r>
      <w:bookmarkStart w:id="17" w:name="_Toc133318069"/>
    </w:p>
    <w:p w14:paraId="4FDE1AA2" w14:textId="01C019F2" w:rsidR="00F906F8" w:rsidRPr="0068231B" w:rsidRDefault="00F906F8" w:rsidP="00B50B2C">
      <w:pPr>
        <w:pStyle w:val="Odstavecseseznamem"/>
        <w:keepNext/>
        <w:keepLines/>
        <w:numPr>
          <w:ilvl w:val="1"/>
          <w:numId w:val="13"/>
        </w:numPr>
        <w:spacing w:after="120" w:line="288" w:lineRule="auto"/>
        <w:jc w:val="both"/>
        <w:outlineLvl w:val="2"/>
        <w:rPr>
          <w:rFonts w:ascii="Segoe UI" w:eastAsia="Times New Roman" w:hAnsi="Segoe UI" w:cs="Segoe UI"/>
          <w:vanish/>
          <w:color w:val="004388"/>
          <w:sz w:val="24"/>
          <w:szCs w:val="28"/>
        </w:rPr>
      </w:pPr>
      <w:bookmarkStart w:id="18" w:name="_Toc138653250"/>
      <w:bookmarkStart w:id="19" w:name="_Toc172628825"/>
      <w:r w:rsidRPr="0068231B">
        <w:rPr>
          <w:rFonts w:ascii="Segoe UI" w:eastAsia="Times New Roman" w:hAnsi="Segoe UI" w:cs="Segoe UI"/>
          <w:color w:val="004388"/>
          <w:sz w:val="24"/>
          <w:szCs w:val="28"/>
        </w:rPr>
        <w:t xml:space="preserve">Posouzení veřejných </w:t>
      </w:r>
      <w:proofErr w:type="spellStart"/>
      <w:r w:rsidRPr="0068231B">
        <w:rPr>
          <w:rFonts w:ascii="Segoe UI" w:eastAsia="Times New Roman" w:hAnsi="Segoe UI" w:cs="Segoe UI"/>
          <w:color w:val="004388"/>
          <w:sz w:val="24"/>
          <w:szCs w:val="28"/>
        </w:rPr>
        <w:t>zakázek</w:t>
      </w:r>
      <w:bookmarkEnd w:id="17"/>
      <w:bookmarkEnd w:id="18"/>
      <w:bookmarkEnd w:id="19"/>
    </w:p>
    <w:p w14:paraId="29AA054B" w14:textId="77777777" w:rsidR="00146444" w:rsidRDefault="00146444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proofErr w:type="spellEnd"/>
    </w:p>
    <w:p w14:paraId="16B09012" w14:textId="3B50E690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Splnění pravidel pro zadávání veřejných zakázek je Kontrolorem posuzováno průběžně, a to:</w:t>
      </w:r>
    </w:p>
    <w:p w14:paraId="0E93C681" w14:textId="77777777" w:rsidR="00F906F8" w:rsidRPr="00E15AA9" w:rsidRDefault="00F906F8" w:rsidP="00B50B2C">
      <w:pPr>
        <w:numPr>
          <w:ilvl w:val="0"/>
          <w:numId w:val="3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19"/>
          <w:szCs w:val="19"/>
        </w:rPr>
      </w:pPr>
      <w:r w:rsidRPr="00E15AA9">
        <w:rPr>
          <w:rFonts w:ascii="Segoe UI" w:eastAsia="Segoe UI" w:hAnsi="Segoe UI" w:cs="Segoe UI"/>
          <w:kern w:val="14"/>
          <w:sz w:val="19"/>
          <w:szCs w:val="19"/>
        </w:rPr>
        <w:t>před vyhlášením zadávacího a výběrového řízení,</w:t>
      </w:r>
    </w:p>
    <w:p w14:paraId="5632ECAC" w14:textId="77777777" w:rsidR="00F906F8" w:rsidRPr="00E15AA9" w:rsidRDefault="00F906F8" w:rsidP="00B50B2C">
      <w:pPr>
        <w:numPr>
          <w:ilvl w:val="0"/>
          <w:numId w:val="3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19"/>
          <w:szCs w:val="19"/>
        </w:rPr>
      </w:pPr>
      <w:r w:rsidRPr="00E15AA9">
        <w:rPr>
          <w:rFonts w:ascii="Segoe UI" w:eastAsia="Segoe UI" w:hAnsi="Segoe UI" w:cs="Segoe UI"/>
          <w:kern w:val="14"/>
          <w:sz w:val="19"/>
          <w:szCs w:val="19"/>
        </w:rPr>
        <w:t>před podpisem smlouvy s dodavatelem,</w:t>
      </w:r>
    </w:p>
    <w:p w14:paraId="7AAE69F5" w14:textId="77777777" w:rsidR="00F906F8" w:rsidRPr="00E15AA9" w:rsidRDefault="00F906F8" w:rsidP="00B50B2C">
      <w:pPr>
        <w:numPr>
          <w:ilvl w:val="0"/>
          <w:numId w:val="3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19"/>
          <w:szCs w:val="19"/>
        </w:rPr>
      </w:pPr>
      <w:r w:rsidRPr="00E15AA9">
        <w:rPr>
          <w:rFonts w:ascii="Segoe UI" w:eastAsia="Segoe UI" w:hAnsi="Segoe UI" w:cs="Segoe UI"/>
          <w:kern w:val="14"/>
          <w:sz w:val="19"/>
          <w:szCs w:val="19"/>
        </w:rPr>
        <w:t>po podpisu smlouvy s dodavatelem,</w:t>
      </w:r>
    </w:p>
    <w:p w14:paraId="1023D64A" w14:textId="77777777" w:rsidR="00F906F8" w:rsidRPr="00E15AA9" w:rsidRDefault="00F906F8" w:rsidP="00B50B2C">
      <w:pPr>
        <w:numPr>
          <w:ilvl w:val="0"/>
          <w:numId w:val="3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19"/>
          <w:szCs w:val="19"/>
        </w:rPr>
      </w:pPr>
      <w:r w:rsidRPr="00E15AA9">
        <w:rPr>
          <w:rFonts w:ascii="Segoe UI" w:eastAsia="Segoe UI" w:hAnsi="Segoe UI" w:cs="Segoe UI"/>
          <w:kern w:val="14"/>
          <w:sz w:val="19"/>
          <w:szCs w:val="19"/>
        </w:rPr>
        <w:t>před podpisem dodatku ke smlouvě s dodavatelem, pokud je dodatek uzavírán,</w:t>
      </w:r>
    </w:p>
    <w:p w14:paraId="49E09924" w14:textId="77777777" w:rsidR="00F906F8" w:rsidRPr="00E15AA9" w:rsidRDefault="00F906F8" w:rsidP="00B50B2C">
      <w:pPr>
        <w:numPr>
          <w:ilvl w:val="0"/>
          <w:numId w:val="3"/>
        </w:numPr>
        <w:spacing w:after="120" w:line="276" w:lineRule="auto"/>
        <w:jc w:val="both"/>
        <w:rPr>
          <w:rFonts w:ascii="Segoe UI" w:eastAsia="Segoe UI" w:hAnsi="Segoe UI" w:cs="Segoe UI"/>
          <w:kern w:val="14"/>
          <w:sz w:val="19"/>
          <w:szCs w:val="19"/>
        </w:rPr>
      </w:pPr>
      <w:r w:rsidRPr="00E15AA9">
        <w:rPr>
          <w:rFonts w:ascii="Segoe UI" w:eastAsia="Segoe UI" w:hAnsi="Segoe UI" w:cs="Segoe UI"/>
          <w:kern w:val="14"/>
          <w:sz w:val="19"/>
          <w:szCs w:val="19"/>
        </w:rPr>
        <w:t>po podpisu dodatku ke smlouvě s dodavatelem, pokud je dodatek uzavírán.</w:t>
      </w:r>
    </w:p>
    <w:p w14:paraId="7FB7E0C1" w14:textId="0986E0DD" w:rsidR="00837EC1" w:rsidRDefault="00F906F8" w:rsidP="00B50B2C">
      <w:pPr>
        <w:spacing w:after="120" w:line="288" w:lineRule="auto"/>
        <w:jc w:val="both"/>
      </w:pPr>
      <w:r w:rsidRPr="00E15AA9">
        <w:rPr>
          <w:rFonts w:ascii="Segoe UI" w:eastAsia="Segoe UI" w:hAnsi="Segoe UI" w:cs="Segoe UI"/>
          <w:sz w:val="20"/>
        </w:rPr>
        <w:t xml:space="preserve">Dokumentace k zadávacím/výběrovým řízením se předkládá elektronicky e-mailem. </w:t>
      </w:r>
      <w:r w:rsidR="00A06D52">
        <w:rPr>
          <w:rFonts w:ascii="Segoe UI" w:eastAsia="Segoe UI" w:hAnsi="Segoe UI" w:cs="Segoe UI"/>
          <w:sz w:val="20"/>
        </w:rPr>
        <w:t xml:space="preserve"> </w:t>
      </w:r>
      <w:r w:rsidR="00A06D52">
        <w:t xml:space="preserve">V podmínkách programu Česká republika – Polská republika je dokumentace předkládána prostřednictvím ISKP21+ (pro partnery je k dispozici </w:t>
      </w:r>
      <w:proofErr w:type="spellStart"/>
      <w:r w:rsidR="00A06D52">
        <w:t>videonávod</w:t>
      </w:r>
      <w:proofErr w:type="spellEnd"/>
      <w:r w:rsidR="00A06D52">
        <w:t xml:space="preserve"> pro založení veřejné zakázky a navázání na projekt dostupný zde:</w:t>
      </w:r>
      <w:r w:rsidR="009E07B5" w:rsidRPr="009E07B5">
        <w:t xml:space="preserve"> </w:t>
      </w:r>
      <w:hyperlink r:id="rId8" w:history="1">
        <w:r w:rsidR="009E07B5" w:rsidRPr="007C4801">
          <w:rPr>
            <w:rStyle w:val="Hypertextovodkaz"/>
          </w:rPr>
          <w:t>https://www.youtube.com/watch?v=KzQQ4cmFxro</w:t>
        </w:r>
      </w:hyperlink>
      <w:r w:rsidR="009E07B5">
        <w:t xml:space="preserve">). </w:t>
      </w:r>
    </w:p>
    <w:p w14:paraId="70C3F401" w14:textId="77777777" w:rsidR="009E07B5" w:rsidRDefault="009E07B5" w:rsidP="00B50B2C">
      <w:pPr>
        <w:spacing w:after="120" w:line="288" w:lineRule="auto"/>
        <w:jc w:val="both"/>
      </w:pPr>
    </w:p>
    <w:p w14:paraId="485FE620" w14:textId="33D14E5C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 xml:space="preserve">V případě potřeby předání obsáhlejší dokumentace, kterou není možné standardně poslat prostřednictvím elektronické pošty, partneři kontaktují svého Kontrolora, který jej bude v této věci instruovat. </w:t>
      </w:r>
    </w:p>
    <w:p w14:paraId="220C309E" w14:textId="3DEAAE72" w:rsidR="00F906F8" w:rsidRPr="00E15AA9" w:rsidRDefault="00F906F8" w:rsidP="00B50B2C">
      <w:pPr>
        <w:keepNext/>
        <w:keepLines/>
        <w:spacing w:after="120" w:line="288" w:lineRule="auto"/>
        <w:jc w:val="both"/>
        <w:outlineLvl w:val="3"/>
        <w:rPr>
          <w:rFonts w:ascii="Segoe UI" w:eastAsia="Times New Roman" w:hAnsi="Segoe UI" w:cs="Segoe UI"/>
          <w:iCs/>
          <w:color w:val="003165"/>
          <w:sz w:val="20"/>
        </w:rPr>
      </w:pPr>
      <w:r w:rsidRPr="00E15AA9">
        <w:rPr>
          <w:rFonts w:ascii="Segoe UI" w:eastAsia="Times New Roman" w:hAnsi="Segoe UI" w:cs="Segoe UI"/>
          <w:iCs/>
          <w:color w:val="003165"/>
          <w:sz w:val="20"/>
        </w:rPr>
        <w:t>Kontrola před vyhlášením zadávacího</w:t>
      </w:r>
      <w:r w:rsidR="00874B85">
        <w:rPr>
          <w:rFonts w:ascii="Segoe UI" w:eastAsia="Times New Roman" w:hAnsi="Segoe UI" w:cs="Segoe UI"/>
          <w:iCs/>
          <w:color w:val="003165"/>
          <w:sz w:val="20"/>
        </w:rPr>
        <w:t>/výběrového</w:t>
      </w:r>
      <w:r w:rsidRPr="00E15AA9">
        <w:rPr>
          <w:rFonts w:ascii="Segoe UI" w:eastAsia="Times New Roman" w:hAnsi="Segoe UI" w:cs="Segoe UI"/>
          <w:iCs/>
          <w:color w:val="003165"/>
          <w:sz w:val="20"/>
        </w:rPr>
        <w:t xml:space="preserve"> řízení</w:t>
      </w:r>
    </w:p>
    <w:p w14:paraId="48B1F2D1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U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všech zakázek, u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kterých bude zadávací řízení vyhlášeno po podpisu Smlouvy o podmínkách realizace projektu a jejichž předpokládaná hodnota je vyšší než:</w:t>
      </w:r>
    </w:p>
    <w:p w14:paraId="6DBD1876" w14:textId="0FD5BFA3" w:rsidR="00F906F8" w:rsidRPr="00E15AA9" w:rsidRDefault="00F906F8" w:rsidP="00B50B2C">
      <w:pPr>
        <w:numPr>
          <w:ilvl w:val="0"/>
          <w:numId w:val="12"/>
        </w:numPr>
        <w:spacing w:after="120" w:line="288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500</w:t>
      </w:r>
      <w:r w:rsidR="00A5790E"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000</w:t>
      </w:r>
      <w:r w:rsidR="00A5790E"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Kč bez DPH</w:t>
      </w:r>
      <w:r>
        <w:rPr>
          <w:rFonts w:ascii="Segoe UI" w:eastAsia="Segoe UI" w:hAnsi="Segoe UI" w:cs="Segoe UI"/>
          <w:sz w:val="20"/>
        </w:rPr>
        <w:t>,</w:t>
      </w:r>
      <w:r w:rsidRPr="00E15AA9">
        <w:rPr>
          <w:rFonts w:ascii="Segoe UI" w:eastAsia="Segoe UI" w:hAnsi="Segoe UI" w:cs="Segoe UI"/>
          <w:sz w:val="20"/>
        </w:rPr>
        <w:t xml:space="preserve"> nebo </w:t>
      </w:r>
    </w:p>
    <w:p w14:paraId="0A604D39" w14:textId="5B9C2D85" w:rsidR="00F906F8" w:rsidRPr="00E15AA9" w:rsidRDefault="00F906F8" w:rsidP="00B50B2C">
      <w:pPr>
        <w:numPr>
          <w:ilvl w:val="0"/>
          <w:numId w:val="12"/>
        </w:numPr>
        <w:spacing w:after="120" w:line="288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2 000 000 Kč bez DPH v případě zakázky na dodávky a/nebo služby nebo 6 000</w:t>
      </w:r>
      <w:r w:rsidR="00A5790E">
        <w:rPr>
          <w:rFonts w:ascii="Segoe UI" w:eastAsia="Segoe UI" w:hAnsi="Segoe UI" w:cs="Segoe UI"/>
          <w:sz w:val="20"/>
        </w:rPr>
        <w:t> </w:t>
      </w:r>
      <w:r w:rsidRPr="00A5790E">
        <w:t>000</w:t>
      </w:r>
      <w:r w:rsidR="00A5790E">
        <w:t> </w:t>
      </w:r>
      <w:r w:rsidRPr="00A5790E">
        <w:t>Kč</w:t>
      </w:r>
      <w:r w:rsidRPr="00E15AA9">
        <w:rPr>
          <w:rFonts w:ascii="Segoe UI" w:eastAsia="Segoe UI" w:hAnsi="Segoe UI" w:cs="Segoe UI"/>
          <w:sz w:val="20"/>
        </w:rPr>
        <w:t xml:space="preserve"> bez DPH v případě zakázky na stavební práce v případě, že Partner není zadavatelem dle § 4 odst. 1 až 3 zákona o zadávání veřejných zakázek, </w:t>
      </w:r>
    </w:p>
    <w:p w14:paraId="2B7F3BFB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je Partner před vyhlášením zadávacího</w:t>
      </w:r>
      <w:r w:rsidRPr="00E15AA9">
        <w:rPr>
          <w:rFonts w:ascii="Segoe UI" w:eastAsia="Segoe UI" w:hAnsi="Segoe UI" w:cs="Times New Roman"/>
          <w:sz w:val="20"/>
        </w:rPr>
        <w:t>/výběrového</w:t>
      </w:r>
      <w:r w:rsidRPr="00E15AA9">
        <w:rPr>
          <w:rFonts w:ascii="Segoe UI" w:eastAsia="Segoe UI" w:hAnsi="Segoe UI" w:cs="Segoe UI"/>
          <w:sz w:val="20"/>
        </w:rPr>
        <w:t xml:space="preserve"> řízení povinen předložit svému kontrolorovi ke kontrole následující dokumenty (dokumenty stačí předložit v elektronické podobě): </w:t>
      </w:r>
    </w:p>
    <w:p w14:paraId="4B2CCF78" w14:textId="77777777" w:rsidR="00F906F8" w:rsidRPr="00E15AA9" w:rsidRDefault="00F906F8" w:rsidP="00B50B2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zadávací dokumentaci, příp. výzvu</w:t>
      </w:r>
      <w:r w:rsidRPr="00E15AA9">
        <w:rPr>
          <w:rFonts w:ascii="Segoe UI" w:eastAsia="Segoe UI" w:hAnsi="Segoe UI" w:cs="Segoe UI"/>
          <w:sz w:val="20"/>
        </w:rPr>
        <w:t xml:space="preserve"> (pokud zároveň plní funkci zadávací dokumentace);</w:t>
      </w:r>
    </w:p>
    <w:p w14:paraId="1E155A24" w14:textId="77777777" w:rsidR="00A5790E" w:rsidRDefault="00F906F8" w:rsidP="00B50B2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kalkulaci předpokládané hodnoty veřejné zakázky vč. zdůvodnění této kalkulace</w:t>
      </w:r>
      <w:r w:rsidRPr="00E15AA9">
        <w:rPr>
          <w:rFonts w:ascii="Segoe UI" w:eastAsia="Segoe UI" w:hAnsi="Segoe UI" w:cs="Segoe UI"/>
          <w:sz w:val="20"/>
        </w:rPr>
        <w:t xml:space="preserve"> (uvedení z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jakých údajů a informací partner vycházel při stanovování předpokládané hodnoty)</w:t>
      </w:r>
      <w:r w:rsidRPr="00E15AA9">
        <w:rPr>
          <w:rFonts w:ascii="Segoe UI" w:eastAsia="Segoe UI" w:hAnsi="Segoe UI" w:cs="Times New Roman"/>
          <w:sz w:val="20"/>
          <w:vertAlign w:val="superscript"/>
        </w:rPr>
        <w:footnoteReference w:id="4"/>
      </w:r>
      <w:r w:rsidR="00A5790E">
        <w:rPr>
          <w:rFonts w:ascii="Segoe UI" w:eastAsia="Segoe UI" w:hAnsi="Segoe UI" w:cs="Segoe UI"/>
          <w:sz w:val="20"/>
        </w:rPr>
        <w:t>;</w:t>
      </w:r>
    </w:p>
    <w:p w14:paraId="11200CC8" w14:textId="6BB8022A" w:rsidR="00F906F8" w:rsidRPr="00E15AA9" w:rsidRDefault="00A5790E" w:rsidP="00B50B2C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lastRenderedPageBreak/>
        <w:t xml:space="preserve">vnitřní předpis </w:t>
      </w:r>
      <w:r w:rsidR="00677FF1">
        <w:rPr>
          <w:rFonts w:ascii="Segoe UI" w:eastAsia="Segoe UI" w:hAnsi="Segoe UI" w:cs="Segoe UI"/>
          <w:b/>
          <w:sz w:val="20"/>
        </w:rPr>
        <w:t xml:space="preserve">Partnera </w:t>
      </w:r>
      <w:r>
        <w:rPr>
          <w:rFonts w:ascii="Segoe UI" w:eastAsia="Segoe UI" w:hAnsi="Segoe UI" w:cs="Segoe UI"/>
          <w:b/>
          <w:sz w:val="20"/>
        </w:rPr>
        <w:t xml:space="preserve">pro </w:t>
      </w:r>
      <w:r w:rsidR="00677FF1">
        <w:rPr>
          <w:rFonts w:ascii="Segoe UI" w:eastAsia="Segoe UI" w:hAnsi="Segoe UI" w:cs="Segoe UI"/>
          <w:b/>
          <w:sz w:val="20"/>
        </w:rPr>
        <w:t xml:space="preserve">oblast </w:t>
      </w:r>
      <w:r>
        <w:rPr>
          <w:rFonts w:ascii="Segoe UI" w:eastAsia="Segoe UI" w:hAnsi="Segoe UI" w:cs="Segoe UI"/>
          <w:b/>
          <w:sz w:val="20"/>
        </w:rPr>
        <w:t xml:space="preserve">zadávání veřejných zakázek </w:t>
      </w:r>
      <w:r>
        <w:rPr>
          <w:rFonts w:ascii="Segoe UI" w:eastAsia="Segoe UI" w:hAnsi="Segoe UI" w:cs="Segoe UI"/>
          <w:bCs/>
          <w:sz w:val="20"/>
        </w:rPr>
        <w:t>v případě, že</w:t>
      </w:r>
      <w:r w:rsidR="00677FF1">
        <w:rPr>
          <w:rFonts w:ascii="Segoe UI" w:eastAsia="Segoe UI" w:hAnsi="Segoe UI" w:cs="Segoe UI"/>
          <w:bCs/>
          <w:sz w:val="20"/>
        </w:rPr>
        <w:t xml:space="preserve"> partner</w:t>
      </w:r>
      <w:r>
        <w:rPr>
          <w:rFonts w:ascii="Segoe UI" w:eastAsia="Segoe UI" w:hAnsi="Segoe UI" w:cs="Segoe UI"/>
          <w:bCs/>
          <w:sz w:val="20"/>
        </w:rPr>
        <w:t xml:space="preserve"> postupuje při zadání </w:t>
      </w:r>
      <w:r w:rsidR="00677FF1">
        <w:rPr>
          <w:rFonts w:ascii="Segoe UI" w:eastAsia="Segoe UI" w:hAnsi="Segoe UI" w:cs="Segoe UI"/>
          <w:bCs/>
          <w:sz w:val="20"/>
        </w:rPr>
        <w:t xml:space="preserve">veřejné </w:t>
      </w:r>
      <w:r>
        <w:rPr>
          <w:rFonts w:ascii="Segoe UI" w:eastAsia="Segoe UI" w:hAnsi="Segoe UI" w:cs="Segoe UI"/>
          <w:bCs/>
          <w:sz w:val="20"/>
        </w:rPr>
        <w:t>zakázky podle tohoto předpisu</w:t>
      </w:r>
      <w:r w:rsidR="00F906F8" w:rsidRPr="00E15AA9">
        <w:rPr>
          <w:rFonts w:ascii="Segoe UI" w:eastAsia="Segoe UI" w:hAnsi="Segoe UI" w:cs="Segoe UI"/>
          <w:sz w:val="20"/>
        </w:rPr>
        <w:t>.</w:t>
      </w:r>
    </w:p>
    <w:p w14:paraId="15971480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Kontrolor vydá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uvedeným dokumentům stanovisko zpravidla do 10 pracovních dní od jejich obdržení.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dokumentace předložená partnerem není kompletní nebo Kontrolor potřebuje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posouzení předložené dokumentace další doplňující informace, běh této lhůty se pozastavuje. Běh lhůty pokračuje od následujícího dne po dni, kdy partner dodal </w:t>
      </w:r>
      <w:r>
        <w:rPr>
          <w:rFonts w:ascii="Segoe UI" w:eastAsia="Segoe UI" w:hAnsi="Segoe UI" w:cs="Segoe UI"/>
          <w:sz w:val="20"/>
        </w:rPr>
        <w:t xml:space="preserve">Kontrolorovi </w:t>
      </w:r>
      <w:r w:rsidRPr="00E15AA9">
        <w:rPr>
          <w:rFonts w:ascii="Segoe UI" w:eastAsia="Segoe UI" w:hAnsi="Segoe UI" w:cs="Segoe UI"/>
          <w:sz w:val="20"/>
        </w:rPr>
        <w:t>chybějící podklady/požadované informace.</w:t>
      </w:r>
    </w:p>
    <w:p w14:paraId="5FFA1CAF" w14:textId="761E432F" w:rsidR="00F906F8" w:rsidRPr="00A16F07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b/>
          <w:bCs/>
          <w:sz w:val="20"/>
        </w:rPr>
      </w:pPr>
      <w:r w:rsidRPr="00E15AA9">
        <w:rPr>
          <w:rFonts w:ascii="Segoe UI" w:eastAsia="Segoe UI" w:hAnsi="Segoe UI" w:cs="Segoe UI"/>
          <w:sz w:val="20"/>
        </w:rPr>
        <w:t>Zadávací</w:t>
      </w:r>
      <w:r w:rsidRPr="00E15AA9">
        <w:rPr>
          <w:rFonts w:ascii="Segoe UI" w:eastAsia="Segoe UI" w:hAnsi="Segoe UI" w:cs="Times New Roman"/>
          <w:sz w:val="20"/>
        </w:rPr>
        <w:t>/výběrové</w:t>
      </w:r>
      <w:r w:rsidRPr="00E15AA9">
        <w:rPr>
          <w:rFonts w:ascii="Segoe UI" w:eastAsia="Segoe UI" w:hAnsi="Segoe UI" w:cs="Segoe UI"/>
          <w:sz w:val="20"/>
        </w:rPr>
        <w:t xml:space="preserve"> řízení je možné vyhlásit až po obdržení souhlasného stanoviska Kontrolora</w:t>
      </w:r>
      <w:r>
        <w:rPr>
          <w:rFonts w:ascii="Segoe UI" w:eastAsia="Segoe UI" w:hAnsi="Segoe UI" w:cs="Segoe UI"/>
          <w:sz w:val="20"/>
        </w:rPr>
        <w:t>, a to pouze v těch případech, kdy bude zadávací/výběrové řízení vybráno k provedení kontroly.</w:t>
      </w:r>
      <w:r w:rsidRPr="00E15AA9">
        <w:rPr>
          <w:rFonts w:ascii="Segoe UI" w:eastAsia="Segoe UI" w:hAnsi="Segoe UI" w:cs="Segoe UI"/>
          <w:sz w:val="20"/>
        </w:rPr>
        <w:t xml:space="preserve"> Partner je </w:t>
      </w:r>
      <w:r>
        <w:rPr>
          <w:rFonts w:ascii="Segoe UI" w:eastAsia="Segoe UI" w:hAnsi="Segoe UI" w:cs="Segoe UI"/>
          <w:sz w:val="20"/>
        </w:rPr>
        <w:t xml:space="preserve">pak </w:t>
      </w:r>
      <w:r w:rsidRPr="00E15AA9">
        <w:rPr>
          <w:rFonts w:ascii="Segoe UI" w:eastAsia="Segoe UI" w:hAnsi="Segoe UI" w:cs="Segoe UI"/>
          <w:sz w:val="20"/>
        </w:rPr>
        <w:t>povinen při vyhlášení zadávacího</w:t>
      </w:r>
      <w:r w:rsidRPr="00E15AA9">
        <w:rPr>
          <w:rFonts w:ascii="Segoe UI" w:eastAsia="Segoe UI" w:hAnsi="Segoe UI" w:cs="Times New Roman"/>
          <w:sz w:val="20"/>
        </w:rPr>
        <w:t>/výběrového</w:t>
      </w:r>
      <w:r w:rsidRPr="00E15AA9">
        <w:rPr>
          <w:rFonts w:ascii="Segoe UI" w:eastAsia="Segoe UI" w:hAnsi="Segoe UI" w:cs="Segoe UI"/>
          <w:sz w:val="20"/>
        </w:rPr>
        <w:t xml:space="preserve"> řízení použít ty verze dokumentů, které byly odsouhlaseny Kontrolorem.</w:t>
      </w:r>
      <w:r>
        <w:rPr>
          <w:rFonts w:ascii="Segoe UI" w:eastAsia="Segoe UI" w:hAnsi="Segoe UI" w:cs="Segoe UI"/>
          <w:sz w:val="20"/>
        </w:rPr>
        <w:t xml:space="preserve"> V situacích, kdy zadávací/výběrové řízení ke kontrole vybráno nebude, obdrží Partner od Kontrolora sdělení o možnosti zahájit proces zadávání veřejné zakázky bez souhlasného stanoviska Kontrolora.</w:t>
      </w:r>
      <w:r w:rsidR="00F46936">
        <w:rPr>
          <w:rFonts w:ascii="Segoe UI" w:eastAsia="Segoe UI" w:hAnsi="Segoe UI" w:cs="Segoe UI"/>
          <w:sz w:val="20"/>
        </w:rPr>
        <w:t xml:space="preserve"> </w:t>
      </w:r>
      <w:r w:rsidR="00F46936" w:rsidRPr="00A16F07">
        <w:rPr>
          <w:rFonts w:ascii="Segoe UI" w:eastAsia="Segoe UI" w:hAnsi="Segoe UI" w:cs="Segoe UI"/>
          <w:b/>
          <w:bCs/>
          <w:sz w:val="20"/>
        </w:rPr>
        <w:t>Proti sdělení Kontrolora</w:t>
      </w:r>
      <w:r w:rsidR="004F375E" w:rsidRPr="00A16F07">
        <w:rPr>
          <w:rFonts w:ascii="Segoe UI" w:eastAsia="Segoe UI" w:hAnsi="Segoe UI" w:cs="Segoe UI"/>
          <w:b/>
          <w:bCs/>
          <w:sz w:val="20"/>
        </w:rPr>
        <w:t xml:space="preserve">, </w:t>
      </w:r>
      <w:r w:rsidR="00F46936" w:rsidRPr="00A16F07">
        <w:rPr>
          <w:rFonts w:ascii="Segoe UI" w:eastAsia="Segoe UI" w:hAnsi="Segoe UI" w:cs="Segoe UI"/>
          <w:b/>
          <w:bCs/>
          <w:sz w:val="20"/>
        </w:rPr>
        <w:t>že nebylo zadávací/výběrové řízení vybráno ke kontrole v rámci zvoleného vzorku nelze podat námitk</w:t>
      </w:r>
      <w:r w:rsidR="00FF6CE9" w:rsidRPr="00A16F07">
        <w:rPr>
          <w:rFonts w:ascii="Segoe UI" w:eastAsia="Segoe UI" w:hAnsi="Segoe UI" w:cs="Segoe UI"/>
          <w:b/>
          <w:bCs/>
          <w:sz w:val="20"/>
        </w:rPr>
        <w:t>u</w:t>
      </w:r>
      <w:r w:rsidR="00F46936" w:rsidRPr="00A16F07">
        <w:rPr>
          <w:rFonts w:ascii="Segoe UI" w:eastAsia="Segoe UI" w:hAnsi="Segoe UI" w:cs="Segoe UI"/>
          <w:b/>
          <w:bCs/>
          <w:sz w:val="20"/>
        </w:rPr>
        <w:t xml:space="preserve"> </w:t>
      </w:r>
      <w:r w:rsidR="00FF6CE9" w:rsidRPr="00A16F07">
        <w:rPr>
          <w:rFonts w:ascii="Segoe UI" w:eastAsia="Segoe UI" w:hAnsi="Segoe UI" w:cs="Segoe UI"/>
          <w:b/>
          <w:bCs/>
          <w:sz w:val="20"/>
        </w:rPr>
        <w:t>nebo</w:t>
      </w:r>
      <w:r w:rsidR="00F46936" w:rsidRPr="00A16F07">
        <w:rPr>
          <w:rFonts w:ascii="Segoe UI" w:eastAsia="Segoe UI" w:hAnsi="Segoe UI" w:cs="Segoe UI"/>
          <w:b/>
          <w:bCs/>
          <w:sz w:val="20"/>
        </w:rPr>
        <w:t xml:space="preserve"> jinou formu stížnosti k</w:t>
      </w:r>
      <w:r w:rsidR="00FF6CE9" w:rsidRPr="00A16F07">
        <w:rPr>
          <w:rFonts w:ascii="Segoe UI" w:eastAsia="Segoe UI" w:hAnsi="Segoe UI" w:cs="Segoe UI"/>
          <w:b/>
          <w:bCs/>
          <w:sz w:val="20"/>
        </w:rPr>
        <w:t> </w:t>
      </w:r>
      <w:r w:rsidR="00F46936" w:rsidRPr="00A16F07">
        <w:rPr>
          <w:rFonts w:ascii="Segoe UI" w:eastAsia="Segoe UI" w:hAnsi="Segoe UI" w:cs="Segoe UI"/>
          <w:b/>
          <w:bCs/>
          <w:sz w:val="20"/>
        </w:rPr>
        <w:t>Ř</w:t>
      </w:r>
      <w:r w:rsidR="00FF6CE9" w:rsidRPr="00A16F07">
        <w:rPr>
          <w:rFonts w:ascii="Segoe UI" w:eastAsia="Segoe UI" w:hAnsi="Segoe UI" w:cs="Segoe UI"/>
          <w:b/>
          <w:bCs/>
          <w:sz w:val="20"/>
        </w:rPr>
        <w:t>ídícímu či Národnímu orgánu.</w:t>
      </w:r>
    </w:p>
    <w:p w14:paraId="2CB0A5B9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</w:p>
    <w:p w14:paraId="0FD27058" w14:textId="77777777" w:rsidR="00F906F8" w:rsidRPr="00E15AA9" w:rsidRDefault="00F906F8" w:rsidP="00B50B2C">
      <w:pPr>
        <w:keepNext/>
        <w:keepLines/>
        <w:spacing w:after="120" w:line="288" w:lineRule="auto"/>
        <w:jc w:val="both"/>
        <w:outlineLvl w:val="3"/>
        <w:rPr>
          <w:rFonts w:ascii="Segoe UI" w:eastAsia="Times New Roman" w:hAnsi="Segoe UI" w:cs="Segoe UI"/>
          <w:iCs/>
          <w:color w:val="003165"/>
          <w:sz w:val="20"/>
          <w:lang w:val="pl-PL"/>
        </w:rPr>
      </w:pPr>
      <w:r w:rsidRPr="00E15AA9">
        <w:rPr>
          <w:rFonts w:ascii="Segoe UI" w:eastAsia="Times New Roman" w:hAnsi="Segoe UI" w:cs="Segoe UI"/>
          <w:iCs/>
          <w:color w:val="003165"/>
          <w:sz w:val="20"/>
          <w:lang w:val="pl-PL"/>
        </w:rPr>
        <w:t>Kontrola před podpisem smlouvy s dodavatelem</w:t>
      </w:r>
    </w:p>
    <w:p w14:paraId="172C940C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Zadavatel je povinen uchovávat veškerou dokumentaci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zakázce a záznamy (vč. elektronických) o úkonech souvisejících s průběhem zadávacího/výběrového řízení. Dokumentací se rozumí souhrn všech dokumentů v listinné či elektronické podobě, jejichž pořízení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průběhu zadávacího/výběrového řízení, popř. po jeho ukončení, vyžaduje zákon (u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veřejných zakázek, na které se vztahují ustanovení zákona), resp. postupy stanovené v Metodickém pokynu pro oblast zadávání zakázek (u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veřejných zakázek, na které se zákon nevztahuje). </w:t>
      </w:r>
    </w:p>
    <w:p w14:paraId="24384D0E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Informace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výběru vítězné nabídky musí být spolu s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dokumenty uvedenými dále </w:t>
      </w:r>
      <w:r>
        <w:rPr>
          <w:rFonts w:ascii="Segoe UI" w:eastAsia="Segoe UI" w:hAnsi="Segoe UI" w:cs="Segoe UI"/>
          <w:sz w:val="20"/>
        </w:rPr>
        <w:t>(</w:t>
      </w:r>
      <w:r w:rsidRPr="00E15AA9">
        <w:rPr>
          <w:rFonts w:ascii="Segoe UI" w:eastAsia="Segoe UI" w:hAnsi="Segoe UI" w:cs="Segoe UI"/>
          <w:sz w:val="20"/>
        </w:rPr>
        <w:t>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textu</w:t>
      </w:r>
      <w:r>
        <w:rPr>
          <w:rFonts w:ascii="Segoe UI" w:eastAsia="Segoe UI" w:hAnsi="Segoe UI" w:cs="Segoe UI"/>
          <w:sz w:val="20"/>
        </w:rPr>
        <w:t xml:space="preserve"> příručky)</w:t>
      </w:r>
      <w:r w:rsidRPr="00E15AA9">
        <w:rPr>
          <w:rFonts w:ascii="Segoe UI" w:eastAsia="Segoe UI" w:hAnsi="Segoe UI" w:cs="Segoe UI"/>
          <w:sz w:val="20"/>
        </w:rPr>
        <w:t xml:space="preserve"> předložena kontrolorovi před podpisem smlouvy s dodavatelem. </w:t>
      </w:r>
    </w:p>
    <w:p w14:paraId="1EF0CA82" w14:textId="0B69965E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b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 xml:space="preserve">Upozorňujeme, </w:t>
      </w:r>
      <w:r w:rsidRPr="00E15AA9">
        <w:rPr>
          <w:rFonts w:ascii="Segoe UI" w:eastAsia="Segoe UI" w:hAnsi="Segoe UI" w:cs="Segoe UI"/>
          <w:bCs/>
          <w:sz w:val="20"/>
        </w:rPr>
        <w:t>že v</w:t>
      </w:r>
      <w:r w:rsidR="008C3201">
        <w:rPr>
          <w:rFonts w:ascii="Segoe UI" w:eastAsia="Segoe UI" w:hAnsi="Segoe UI" w:cs="Segoe UI"/>
          <w:bCs/>
          <w:sz w:val="20"/>
        </w:rPr>
        <w:t> </w:t>
      </w:r>
      <w:r w:rsidRPr="00E15AA9">
        <w:rPr>
          <w:rFonts w:ascii="Segoe UI" w:eastAsia="Segoe UI" w:hAnsi="Segoe UI" w:cs="Segoe UI"/>
          <w:bCs/>
          <w:sz w:val="20"/>
        </w:rPr>
        <w:t>případě veřejných zakázek, u</w:t>
      </w:r>
      <w:r>
        <w:rPr>
          <w:rFonts w:ascii="Segoe UI" w:eastAsia="Segoe UI" w:hAnsi="Segoe UI" w:cs="Segoe UI"/>
          <w:bCs/>
          <w:sz w:val="20"/>
        </w:rPr>
        <w:t> </w:t>
      </w:r>
      <w:r w:rsidRPr="00E15AA9">
        <w:rPr>
          <w:rFonts w:ascii="Segoe UI" w:eastAsia="Segoe UI" w:hAnsi="Segoe UI" w:cs="Segoe UI"/>
          <w:bCs/>
          <w:sz w:val="20"/>
        </w:rPr>
        <w:t>kterých je postup zadávání upraven přímo zákonem o</w:t>
      </w:r>
      <w:r>
        <w:rPr>
          <w:rFonts w:ascii="Segoe UI" w:eastAsia="Segoe UI" w:hAnsi="Segoe UI" w:cs="Segoe UI"/>
          <w:bCs/>
          <w:sz w:val="20"/>
        </w:rPr>
        <w:t> </w:t>
      </w:r>
      <w:r w:rsidRPr="00E15AA9">
        <w:rPr>
          <w:rFonts w:ascii="Segoe UI" w:eastAsia="Segoe UI" w:hAnsi="Segoe UI" w:cs="Segoe UI"/>
          <w:bCs/>
          <w:sz w:val="20"/>
        </w:rPr>
        <w:t>veřejných zakázkách,</w:t>
      </w:r>
      <w:r w:rsidRPr="00E15AA9">
        <w:rPr>
          <w:rFonts w:ascii="Segoe UI" w:eastAsia="Segoe UI" w:hAnsi="Segoe UI" w:cs="Segoe UI"/>
          <w:b/>
          <w:sz w:val="20"/>
        </w:rPr>
        <w:t xml:space="preserve"> zákon stanovuje uzavřít smlouvu bez zbytečného odkladu. </w:t>
      </w:r>
      <w:r w:rsidRPr="00E15AA9">
        <w:rPr>
          <w:rFonts w:ascii="Segoe UI" w:eastAsia="Segoe UI" w:hAnsi="Segoe UI" w:cs="Segoe UI"/>
          <w:bCs/>
          <w:sz w:val="20"/>
        </w:rPr>
        <w:t>Zároveň</w:t>
      </w:r>
      <w:r w:rsidRPr="00E15AA9">
        <w:rPr>
          <w:rFonts w:ascii="Segoe UI" w:eastAsia="Segoe UI" w:hAnsi="Segoe UI" w:cs="Segoe UI"/>
          <w:b/>
          <w:sz w:val="20"/>
        </w:rPr>
        <w:t xml:space="preserve"> lhůta pro provedení kontroly průběhu zadávacího řízení kontrolorem činí zpravidla 10 pracovních dní. Z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toho důvodu je nutné dokumenty předložit vždy co nejdříve po uzavření jednotlivých procesních kroků stanovených zákonem, tj. po rozhodnutí o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 xml:space="preserve">výběru nejvhodnější nabídky – dokumenty uvedené níže pod body a) - </w:t>
      </w:r>
      <w:r w:rsidR="008C3201">
        <w:rPr>
          <w:rFonts w:ascii="Segoe UI" w:eastAsia="Segoe UI" w:hAnsi="Segoe UI" w:cs="Segoe UI"/>
          <w:b/>
          <w:sz w:val="20"/>
        </w:rPr>
        <w:t>f</w:t>
      </w:r>
      <w:r w:rsidRPr="00E15AA9">
        <w:rPr>
          <w:rFonts w:ascii="Segoe UI" w:eastAsia="Segoe UI" w:hAnsi="Segoe UI" w:cs="Segoe UI"/>
          <w:b/>
          <w:sz w:val="20"/>
        </w:rPr>
        <w:t xml:space="preserve">) a po vypořádání námitek </w:t>
      </w:r>
      <w:r w:rsidR="008C3201">
        <w:rPr>
          <w:rFonts w:ascii="Segoe UI" w:eastAsia="Segoe UI" w:hAnsi="Segoe UI" w:cs="Segoe UI"/>
          <w:b/>
          <w:sz w:val="20"/>
        </w:rPr>
        <w:t xml:space="preserve">stěžovatele </w:t>
      </w:r>
      <w:r w:rsidRPr="00E15AA9">
        <w:rPr>
          <w:rFonts w:ascii="Segoe UI" w:eastAsia="Segoe UI" w:hAnsi="Segoe UI" w:cs="Segoe UI"/>
          <w:b/>
          <w:sz w:val="20"/>
        </w:rPr>
        <w:t>– dokumenty uvedené níže pod bodem h).</w:t>
      </w:r>
    </w:p>
    <w:p w14:paraId="1695AE74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 xml:space="preserve">Pro účely posouzení správnosti postupu zadavatele při zadávání zakázky budou vyžadovány následující základní dokumenty: </w:t>
      </w:r>
    </w:p>
    <w:p w14:paraId="075247B9" w14:textId="4528016C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text oznámení o</w:t>
      </w:r>
      <w:r w:rsidR="0035729A"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zahájení zadávacího</w:t>
      </w:r>
      <w:r w:rsidRPr="0035729A">
        <w:rPr>
          <w:rFonts w:ascii="Segoe UI" w:eastAsia="Segoe UI" w:hAnsi="Segoe UI" w:cs="Times New Roman"/>
          <w:b/>
          <w:bCs/>
          <w:sz w:val="20"/>
        </w:rPr>
        <w:t>/výběrového</w:t>
      </w:r>
      <w:r w:rsidRPr="00E15AA9">
        <w:rPr>
          <w:rFonts w:ascii="Segoe UI" w:eastAsia="Segoe UI" w:hAnsi="Segoe UI" w:cs="Segoe UI"/>
          <w:b/>
          <w:sz w:val="20"/>
        </w:rPr>
        <w:t xml:space="preserve"> řízení, resp. výzvy</w:t>
      </w:r>
      <w:r w:rsidRPr="00E15AA9">
        <w:rPr>
          <w:rFonts w:ascii="Segoe UI" w:eastAsia="Segoe UI" w:hAnsi="Segoe UI" w:cs="Segoe UI"/>
          <w:sz w:val="20"/>
        </w:rPr>
        <w:t xml:space="preserve"> zaslané požadovanému počtu potenciálních dodavatelů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podání nabídky a dalších dokumentů </w:t>
      </w:r>
      <w:r w:rsidRPr="00E15AA9">
        <w:rPr>
          <w:rFonts w:ascii="Segoe UI" w:eastAsia="Segoe UI" w:hAnsi="Segoe UI" w:cs="Segoe UI"/>
          <w:sz w:val="20"/>
        </w:rPr>
        <w:lastRenderedPageBreak/>
        <w:t>vymezujících předmět zakázky (např. zadávací dokumentace, je-li povinnost ji zpracovat) vč. dokladů prokazujících jejich odeslání</w:t>
      </w:r>
      <w:r w:rsidRPr="00E15AA9">
        <w:rPr>
          <w:rFonts w:ascii="Segoe UI" w:eastAsia="Segoe UI" w:hAnsi="Segoe UI" w:cs="Times New Roman"/>
          <w:sz w:val="20"/>
          <w:vertAlign w:val="superscript"/>
        </w:rPr>
        <w:footnoteReference w:id="5"/>
      </w:r>
      <w:r w:rsidRPr="00E15AA9">
        <w:rPr>
          <w:rFonts w:ascii="Segoe UI" w:eastAsia="Segoe UI" w:hAnsi="Segoe UI" w:cs="Segoe UI"/>
          <w:sz w:val="20"/>
        </w:rPr>
        <w:t>;</w:t>
      </w:r>
    </w:p>
    <w:p w14:paraId="7A9644CB" w14:textId="7777777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vítězná nabídka</w:t>
      </w:r>
      <w:r w:rsidRPr="00E15AA9">
        <w:rPr>
          <w:rFonts w:ascii="Segoe UI" w:eastAsia="Segoe UI" w:hAnsi="Segoe UI" w:cs="Segoe UI"/>
          <w:sz w:val="20"/>
        </w:rPr>
        <w:t xml:space="preserve"> podaná uchazečem na základě oznámení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zahájení zadávacího</w:t>
      </w:r>
      <w:r w:rsidRPr="00E15AA9">
        <w:rPr>
          <w:rFonts w:ascii="Segoe UI" w:eastAsia="Segoe UI" w:hAnsi="Segoe UI" w:cs="Times New Roman"/>
          <w:sz w:val="20"/>
        </w:rPr>
        <w:t>/výběrového</w:t>
      </w:r>
      <w:r w:rsidRPr="00E15AA9">
        <w:rPr>
          <w:rFonts w:ascii="Segoe UI" w:eastAsia="Segoe UI" w:hAnsi="Segoe UI" w:cs="Segoe UI"/>
          <w:sz w:val="20"/>
        </w:rPr>
        <w:t xml:space="preserve"> řízení, resp. výzvy zadavatele nebo jiné informace či ceníky, z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nichž vyplývá plnění nabízené uchazečem;</w:t>
      </w:r>
    </w:p>
    <w:p w14:paraId="71DA0F9C" w14:textId="7777777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protokol o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otevírání obálek</w:t>
      </w:r>
      <w:r w:rsidRPr="00E15AA9">
        <w:rPr>
          <w:rFonts w:ascii="Segoe UI" w:eastAsia="Segoe UI" w:hAnsi="Segoe UI" w:cs="Segoe UI"/>
          <w:sz w:val="20"/>
        </w:rPr>
        <w:t xml:space="preserve"> (není vyžadován, pokud jsou informace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otevírání obálek zahrnuty ve zprávě/protokolu o posouzení a hodnocení nabídek) podepsaný členy komise pro otevírání obálek;</w:t>
      </w:r>
    </w:p>
    <w:p w14:paraId="5595DB37" w14:textId="7777777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zpráva/protokol o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posouzení a hodnocení podaných nabídek</w:t>
      </w:r>
      <w:r w:rsidRPr="00E15AA9">
        <w:rPr>
          <w:rFonts w:ascii="Segoe UI" w:eastAsia="Segoe UI" w:hAnsi="Segoe UI" w:cs="Segoe UI"/>
          <w:sz w:val="20"/>
        </w:rPr>
        <w:t xml:space="preserve"> podepsaný členy hodnotící komise, včetně dokladů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jmenování hodnotící komise a prohlášeních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nepodjatosti všech jejich členů;</w:t>
      </w:r>
    </w:p>
    <w:p w14:paraId="7107BD72" w14:textId="2ACB6F9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rozhodnutí zadavatele o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přidělení zakázky</w:t>
      </w:r>
      <w:r>
        <w:rPr>
          <w:rFonts w:ascii="Segoe UI" w:eastAsia="Segoe UI" w:hAnsi="Segoe UI" w:cs="Segoe UI"/>
          <w:b/>
          <w:sz w:val="20"/>
        </w:rPr>
        <w:t xml:space="preserve"> </w:t>
      </w:r>
      <w:r>
        <w:rPr>
          <w:rFonts w:ascii="Segoe UI" w:eastAsia="Segoe UI" w:hAnsi="Segoe UI" w:cs="Segoe UI"/>
          <w:bCs/>
          <w:sz w:val="20"/>
        </w:rPr>
        <w:t>(oznámení o výběru dodavatele)</w:t>
      </w:r>
      <w:r w:rsidRPr="00E15AA9">
        <w:rPr>
          <w:rFonts w:ascii="Segoe UI" w:eastAsia="Segoe UI" w:hAnsi="Segoe UI" w:cs="Segoe UI"/>
          <w:sz w:val="20"/>
        </w:rPr>
        <w:t xml:space="preserve">, vč. dokumentů prokazujících jeho odeslání </w:t>
      </w:r>
      <w:r>
        <w:rPr>
          <w:rFonts w:ascii="Segoe UI" w:eastAsia="Segoe UI" w:hAnsi="Segoe UI" w:cs="Segoe UI"/>
          <w:sz w:val="20"/>
        </w:rPr>
        <w:t xml:space="preserve">(a doručení) </w:t>
      </w:r>
      <w:r w:rsidRPr="00E15AA9">
        <w:rPr>
          <w:rFonts w:ascii="Segoe UI" w:eastAsia="Segoe UI" w:hAnsi="Segoe UI" w:cs="Segoe UI"/>
          <w:sz w:val="20"/>
        </w:rPr>
        <w:t>všem dotčeným uchazečům a zájemcům;</w:t>
      </w:r>
    </w:p>
    <w:p w14:paraId="50FBB0E7" w14:textId="7777777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návrh smlouvy s dodavatelem</w:t>
      </w:r>
      <w:r w:rsidRPr="00E15AA9">
        <w:rPr>
          <w:rFonts w:ascii="Segoe UI" w:eastAsia="Segoe UI" w:hAnsi="Segoe UI" w:cs="Segoe UI"/>
          <w:sz w:val="20"/>
        </w:rPr>
        <w:t>.</w:t>
      </w:r>
    </w:p>
    <w:p w14:paraId="62BE7CBC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Nad rámec těchto dokumentů Partner kontrolorovi dále předloží:</w:t>
      </w:r>
    </w:p>
    <w:p w14:paraId="40C42AF0" w14:textId="77777777" w:rsidR="00F906F8" w:rsidRPr="00E15AA9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nabídky, které byly v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průběhu zadávacího</w:t>
      </w:r>
      <w:r>
        <w:rPr>
          <w:rFonts w:ascii="Segoe UI" w:eastAsia="Segoe UI" w:hAnsi="Segoe UI" w:cs="Segoe UI"/>
          <w:b/>
          <w:sz w:val="20"/>
        </w:rPr>
        <w:t>/výběrového</w:t>
      </w:r>
      <w:r w:rsidRPr="00E15AA9">
        <w:rPr>
          <w:rFonts w:ascii="Segoe UI" w:eastAsia="Segoe UI" w:hAnsi="Segoe UI" w:cs="Segoe UI"/>
          <w:b/>
          <w:sz w:val="20"/>
        </w:rPr>
        <w:t xml:space="preserve"> řízení vyřazeny</w:t>
      </w:r>
      <w:r w:rsidRPr="00E15AA9">
        <w:rPr>
          <w:rFonts w:ascii="Segoe UI" w:eastAsia="Segoe UI" w:hAnsi="Segoe UI" w:cs="Segoe UI"/>
          <w:sz w:val="20"/>
        </w:rPr>
        <w:t>, pokud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vyřazení nějaké nabídky došlo;</w:t>
      </w:r>
    </w:p>
    <w:p w14:paraId="47A93E8E" w14:textId="5984C826" w:rsidR="008C3201" w:rsidRDefault="00F906F8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písemnou informaci o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způsobu vyřešení námitek (odvolání)</w:t>
      </w:r>
      <w:r w:rsidRPr="00E15AA9">
        <w:rPr>
          <w:rFonts w:ascii="Segoe UI" w:eastAsia="Segoe UI" w:hAnsi="Segoe UI" w:cs="Segoe UI"/>
          <w:sz w:val="20"/>
        </w:rPr>
        <w:t xml:space="preserve"> podaných některými uchazeči, pokud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rámci zadávacího</w:t>
      </w:r>
      <w:r>
        <w:rPr>
          <w:rFonts w:ascii="Segoe UI" w:eastAsia="Segoe UI" w:hAnsi="Segoe UI" w:cs="Segoe UI"/>
          <w:sz w:val="20"/>
        </w:rPr>
        <w:t>/výběrového</w:t>
      </w:r>
      <w:r w:rsidRPr="00E15AA9">
        <w:rPr>
          <w:rFonts w:ascii="Segoe UI" w:eastAsia="Segoe UI" w:hAnsi="Segoe UI" w:cs="Segoe UI"/>
          <w:sz w:val="20"/>
        </w:rPr>
        <w:t xml:space="preserve"> řízení nějaké námitky (odvolání) byly podány, čestné prohlášení zadavatele v případech, kdy námitky podány nebyly a případně další komunikaci vedenou mezi zadavatelem a dodavatelem/dodavatel</w:t>
      </w:r>
      <w:r w:rsidR="0035729A">
        <w:rPr>
          <w:rFonts w:ascii="Segoe UI" w:eastAsia="Segoe UI" w:hAnsi="Segoe UI" w:cs="Segoe UI"/>
          <w:sz w:val="20"/>
        </w:rPr>
        <w:t>i</w:t>
      </w:r>
      <w:r>
        <w:rPr>
          <w:rFonts w:ascii="Segoe UI" w:eastAsia="Segoe UI" w:hAnsi="Segoe UI" w:cs="Segoe UI"/>
          <w:sz w:val="20"/>
        </w:rPr>
        <w:t xml:space="preserve"> (např. v situacích, kdy zadavatel obdrží od navrhovatele stejnopis návrhu k zahájení správního řízení u Úřadu pro ochranu hospodářské soutěže)</w:t>
      </w:r>
      <w:r w:rsidR="008C3201">
        <w:rPr>
          <w:rFonts w:ascii="Segoe UI" w:eastAsia="Segoe UI" w:hAnsi="Segoe UI" w:cs="Segoe UI"/>
          <w:sz w:val="20"/>
        </w:rPr>
        <w:t>;</w:t>
      </w:r>
    </w:p>
    <w:p w14:paraId="40B00F95" w14:textId="413973CF" w:rsidR="00F906F8" w:rsidRPr="00E15AA9" w:rsidRDefault="008C3201" w:rsidP="00B50B2C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vnitřní předpis Partnera pro oblast zadávání veřejných zakázek </w:t>
      </w:r>
      <w:r>
        <w:rPr>
          <w:rFonts w:ascii="Segoe UI" w:eastAsia="Segoe UI" w:hAnsi="Segoe UI" w:cs="Segoe UI"/>
          <w:bCs/>
          <w:sz w:val="20"/>
        </w:rPr>
        <w:t>v případě, že partner postupuje při zadání veřejné zakázky podle tohoto předpisu</w:t>
      </w:r>
      <w:r w:rsidR="006458E1">
        <w:rPr>
          <w:rFonts w:ascii="Segoe UI" w:eastAsia="Segoe UI" w:hAnsi="Segoe UI" w:cs="Segoe UI"/>
          <w:bCs/>
          <w:sz w:val="20"/>
        </w:rPr>
        <w:t xml:space="preserve"> pokud došlo k jeho změně oproti verzi již dříve předložené</w:t>
      </w:r>
      <w:r w:rsidR="00F906F8">
        <w:rPr>
          <w:rFonts w:ascii="Segoe UI" w:eastAsia="Segoe UI" w:hAnsi="Segoe UI" w:cs="Segoe UI"/>
          <w:sz w:val="20"/>
        </w:rPr>
        <w:t>.</w:t>
      </w:r>
    </w:p>
    <w:p w14:paraId="3D528B2A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Kontrolor posoudí dokumenty ve lhůtě zpravidla 10 pracovních dní.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dokumentace předložená Partnerem není kompletní, nebo Kontrolor potřebuje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posouzení předložené dokumentace další doplňující informace, běh této lhůty se pozastavuje. Běh lhůty pokračuje od následujícího dne po dni, kdy Partner dodal chybějící podklady/požadované informace.</w:t>
      </w:r>
    </w:p>
    <w:p w14:paraId="22B1A167" w14:textId="14B3F94D" w:rsidR="00F906F8" w:rsidRDefault="009D3304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V souvislosti s výše uvedeným výčtem předkládaných dokladů se </w:t>
      </w:r>
      <w:r w:rsidR="00F906F8" w:rsidRPr="00E15AA9">
        <w:rPr>
          <w:rFonts w:ascii="Segoe UI" w:eastAsia="Segoe UI" w:hAnsi="Segoe UI" w:cs="Segoe UI"/>
          <w:sz w:val="20"/>
        </w:rPr>
        <w:t>Partner</w:t>
      </w:r>
      <w:r>
        <w:rPr>
          <w:rFonts w:ascii="Segoe UI" w:eastAsia="Segoe UI" w:hAnsi="Segoe UI" w:cs="Segoe UI"/>
          <w:sz w:val="20"/>
        </w:rPr>
        <w:t xml:space="preserve">ovi doporučuje </w:t>
      </w:r>
      <w:r w:rsidR="00F906F8" w:rsidRPr="00E15AA9">
        <w:rPr>
          <w:rFonts w:ascii="Segoe UI" w:eastAsia="Segoe UI" w:hAnsi="Segoe UI" w:cs="Segoe UI"/>
          <w:sz w:val="20"/>
        </w:rPr>
        <w:t>uzavřít smlouvu s</w:t>
      </w:r>
      <w:r w:rsidR="00F906F8">
        <w:rPr>
          <w:rFonts w:ascii="Segoe UI" w:eastAsia="Segoe UI" w:hAnsi="Segoe UI" w:cs="Segoe UI"/>
          <w:sz w:val="20"/>
        </w:rPr>
        <w:t> </w:t>
      </w:r>
      <w:r w:rsidR="00F906F8" w:rsidRPr="00E15AA9">
        <w:rPr>
          <w:rFonts w:ascii="Segoe UI" w:eastAsia="Segoe UI" w:hAnsi="Segoe UI" w:cs="Segoe UI"/>
          <w:sz w:val="20"/>
        </w:rPr>
        <w:t>dodavatelem až poté, co obdrží souhlasné stanovisko Kontrolora k</w:t>
      </w:r>
      <w:r w:rsidR="00F906F8">
        <w:rPr>
          <w:rFonts w:ascii="Segoe UI" w:eastAsia="Segoe UI" w:hAnsi="Segoe UI" w:cs="Segoe UI"/>
          <w:sz w:val="20"/>
        </w:rPr>
        <w:t> </w:t>
      </w:r>
      <w:r w:rsidR="00F906F8" w:rsidRPr="00E15AA9">
        <w:rPr>
          <w:rFonts w:ascii="Segoe UI" w:eastAsia="Segoe UI" w:hAnsi="Segoe UI" w:cs="Segoe UI"/>
          <w:sz w:val="20"/>
        </w:rPr>
        <w:t>průběhu zadávacího</w:t>
      </w:r>
      <w:r>
        <w:rPr>
          <w:rFonts w:ascii="Segoe UI" w:eastAsia="Segoe UI" w:hAnsi="Segoe UI" w:cs="Segoe UI"/>
          <w:sz w:val="20"/>
        </w:rPr>
        <w:t>/výběrového</w:t>
      </w:r>
      <w:r w:rsidR="00F906F8" w:rsidRPr="00E15AA9">
        <w:rPr>
          <w:rFonts w:ascii="Segoe UI" w:eastAsia="Segoe UI" w:hAnsi="Segoe UI" w:cs="Segoe UI"/>
          <w:sz w:val="20"/>
        </w:rPr>
        <w:t xml:space="preserve"> řízení.</w:t>
      </w:r>
    </w:p>
    <w:p w14:paraId="1389A96A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</w:p>
    <w:p w14:paraId="2334F571" w14:textId="77777777" w:rsidR="00F906F8" w:rsidRPr="00E15AA9" w:rsidRDefault="00F906F8" w:rsidP="00B50B2C">
      <w:pPr>
        <w:keepNext/>
        <w:keepLines/>
        <w:spacing w:after="120" w:line="288" w:lineRule="auto"/>
        <w:jc w:val="both"/>
        <w:outlineLvl w:val="3"/>
        <w:rPr>
          <w:rFonts w:ascii="Segoe UI" w:eastAsia="Times New Roman" w:hAnsi="Segoe UI" w:cs="Segoe UI"/>
          <w:iCs/>
          <w:color w:val="003165"/>
          <w:sz w:val="20"/>
          <w:lang w:val="pl-PL"/>
        </w:rPr>
      </w:pPr>
      <w:r w:rsidRPr="00E15AA9">
        <w:rPr>
          <w:rFonts w:ascii="Segoe UI" w:eastAsia="Times New Roman" w:hAnsi="Segoe UI" w:cs="Segoe UI"/>
          <w:iCs/>
          <w:color w:val="003165"/>
          <w:sz w:val="20"/>
          <w:lang w:val="pl-PL"/>
        </w:rPr>
        <w:t>Kontrola po podpisu smlouvy s dodavatelem</w:t>
      </w:r>
    </w:p>
    <w:p w14:paraId="41B8B0CA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Po podpisu smlouvy s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dodavatelem, nejpozději však při předložení nejblíže následující Podrobné soupisky výdajů, předloží Partner svému kontrolorovi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posouzení následující dokumenty:</w:t>
      </w:r>
    </w:p>
    <w:p w14:paraId="65630CD2" w14:textId="79E8F47E" w:rsidR="00F906F8" w:rsidRPr="00E15AA9" w:rsidRDefault="00F906F8" w:rsidP="00B50B2C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uzavřenou smlouvu s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vybraným dodavatelem</w:t>
      </w:r>
      <w:r w:rsidRPr="00E15AA9">
        <w:rPr>
          <w:rFonts w:ascii="Segoe UI" w:eastAsia="Segoe UI" w:hAnsi="Segoe UI" w:cs="Segoe UI"/>
          <w:sz w:val="20"/>
        </w:rPr>
        <w:t>;</w:t>
      </w:r>
    </w:p>
    <w:p w14:paraId="23EFD385" w14:textId="18E944CC" w:rsidR="00F906F8" w:rsidRPr="00E15AA9" w:rsidRDefault="00F906F8" w:rsidP="00B50B2C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lastRenderedPageBreak/>
        <w:t>text oznámení o výsledku zadávacího řízení</w:t>
      </w:r>
      <w:r w:rsidRPr="00E15AA9">
        <w:rPr>
          <w:rFonts w:ascii="Segoe UI" w:eastAsia="Segoe UI" w:hAnsi="Segoe UI" w:cs="Segoe UI"/>
          <w:sz w:val="20"/>
        </w:rPr>
        <w:t xml:space="preserve"> zaslaný všem uchazečům, kteří podali nabídku v řádném termínu pro podání nabídek, vč. dokladů prokazujících jejich odeslání</w:t>
      </w:r>
      <w:r w:rsidR="00701834">
        <w:rPr>
          <w:rFonts w:ascii="Segoe UI" w:eastAsia="Segoe UI" w:hAnsi="Segoe UI" w:cs="Segoe UI"/>
          <w:sz w:val="20"/>
        </w:rPr>
        <w:t>;</w:t>
      </w:r>
    </w:p>
    <w:p w14:paraId="42925920" w14:textId="350EA3C7" w:rsidR="00F906F8" w:rsidRDefault="00F906F8" w:rsidP="00B50B2C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datovou zprávu s</w:t>
      </w:r>
      <w:r w:rsidR="00701834"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potvrzením o</w:t>
      </w:r>
      <w:r w:rsidR="00701834"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uveřejnění uzavřené smlouvy s</w:t>
      </w:r>
      <w:r>
        <w:rPr>
          <w:rFonts w:ascii="Segoe UI" w:eastAsia="Segoe UI" w:hAnsi="Segoe UI" w:cs="Segoe UI"/>
          <w:b/>
          <w:sz w:val="20"/>
        </w:rPr>
        <w:t> </w:t>
      </w:r>
      <w:r w:rsidRPr="00E15AA9">
        <w:rPr>
          <w:rFonts w:ascii="Segoe UI" w:eastAsia="Segoe UI" w:hAnsi="Segoe UI" w:cs="Segoe UI"/>
          <w:b/>
          <w:sz w:val="20"/>
        </w:rPr>
        <w:t>vybraným dodavatelem v registru smluv</w:t>
      </w:r>
      <w:r w:rsidRPr="00E15AA9">
        <w:rPr>
          <w:rFonts w:ascii="Franklin Gothic Book" w:eastAsia="Segoe UI" w:hAnsi="Franklin Gothic Book" w:cs="Segoe UI"/>
          <w:b/>
          <w:position w:val="4"/>
          <w:sz w:val="14"/>
          <w:vertAlign w:val="superscript"/>
        </w:rPr>
        <w:footnoteReference w:id="6"/>
      </w:r>
      <w:r w:rsidRPr="00E15AA9">
        <w:rPr>
          <w:rFonts w:ascii="Segoe UI" w:eastAsia="Segoe UI" w:hAnsi="Segoe UI" w:cs="Segoe UI"/>
          <w:sz w:val="20"/>
        </w:rPr>
        <w:t xml:space="preserve"> v</w:t>
      </w:r>
      <w:r w:rsidR="0035729A"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souladu se zákonem č.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340/2015 Sb., o registru smluv, pokud se na českého projektového partnera tato povinnost dle </w:t>
      </w:r>
      <w:r>
        <w:rPr>
          <w:rFonts w:ascii="Segoe UI" w:eastAsia="Segoe UI" w:hAnsi="Segoe UI" w:cs="Segoe UI"/>
          <w:sz w:val="20"/>
        </w:rPr>
        <w:t xml:space="preserve">ustanovení </w:t>
      </w:r>
      <w:r w:rsidRPr="00E15AA9">
        <w:rPr>
          <w:rFonts w:ascii="Segoe UI" w:eastAsia="Segoe UI" w:hAnsi="Segoe UI" w:cs="Segoe UI"/>
          <w:sz w:val="20"/>
        </w:rPr>
        <w:t>§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2 odst. 1 tohoto zákona vztahuje (podrobnosti k uveřejňování smluv v registru smluv </w:t>
      </w:r>
      <w:r w:rsidR="006458E1">
        <w:rPr>
          <w:rFonts w:ascii="Segoe UI" w:eastAsia="Segoe UI" w:hAnsi="Segoe UI" w:cs="Segoe UI"/>
          <w:sz w:val="20"/>
        </w:rPr>
        <w:t>viz programová dokumentace</w:t>
      </w:r>
      <w:r w:rsidRPr="00E15AA9">
        <w:rPr>
          <w:rFonts w:ascii="Segoe UI" w:eastAsia="Segoe UI" w:hAnsi="Segoe UI" w:cs="Segoe UI"/>
          <w:sz w:val="20"/>
        </w:rPr>
        <w:t>)</w:t>
      </w:r>
      <w:r w:rsidR="00701834">
        <w:rPr>
          <w:rFonts w:ascii="Segoe UI" w:eastAsia="Segoe UI" w:hAnsi="Segoe UI" w:cs="Segoe UI"/>
          <w:sz w:val="20"/>
        </w:rPr>
        <w:t>;</w:t>
      </w:r>
    </w:p>
    <w:p w14:paraId="56E77CF3" w14:textId="530745DE" w:rsidR="00701834" w:rsidRPr="00E15AA9" w:rsidRDefault="006458E1" w:rsidP="00B50B2C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vnitřní předpis Partnera pro oblast zadávání veřejných zakázek </w:t>
      </w:r>
      <w:r>
        <w:rPr>
          <w:rFonts w:ascii="Segoe UI" w:eastAsia="Segoe UI" w:hAnsi="Segoe UI" w:cs="Segoe UI"/>
          <w:bCs/>
          <w:sz w:val="20"/>
        </w:rPr>
        <w:t>v případě, že partner postupuje při zadání veřejné zakázky podle tohoto předpisu pokud došlo k jeho změně oproti verzi již dříve předložené</w:t>
      </w:r>
      <w:r w:rsidR="0035729A">
        <w:rPr>
          <w:rFonts w:ascii="Segoe UI" w:eastAsia="Segoe UI" w:hAnsi="Segoe UI" w:cs="Segoe UI"/>
          <w:bCs/>
          <w:sz w:val="20"/>
        </w:rPr>
        <w:t>.</w:t>
      </w:r>
    </w:p>
    <w:p w14:paraId="0372093B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 xml:space="preserve">Kontrolor si může vyžádat další dokumenty nezbytné pro provedení kontroly zadávacího/výběrového řízení. </w:t>
      </w:r>
    </w:p>
    <w:p w14:paraId="48D8BF6D" w14:textId="77777777" w:rsidR="00F906F8" w:rsidRPr="00E15AA9" w:rsidRDefault="00F906F8" w:rsidP="00B50B2C">
      <w:pPr>
        <w:keepNext/>
        <w:keepLines/>
        <w:spacing w:after="120" w:line="288" w:lineRule="auto"/>
        <w:jc w:val="both"/>
        <w:outlineLvl w:val="3"/>
        <w:rPr>
          <w:rFonts w:ascii="Segoe UI" w:eastAsia="Times New Roman" w:hAnsi="Segoe UI" w:cs="Segoe UI"/>
          <w:iCs/>
          <w:color w:val="003165"/>
          <w:sz w:val="20"/>
          <w:lang w:val="pl-PL"/>
        </w:rPr>
      </w:pPr>
      <w:r w:rsidRPr="00E15AA9">
        <w:rPr>
          <w:rFonts w:ascii="Segoe UI" w:eastAsia="Times New Roman" w:hAnsi="Segoe UI" w:cs="Segoe UI"/>
          <w:iCs/>
          <w:color w:val="003165"/>
          <w:sz w:val="20"/>
          <w:lang w:val="pl-PL"/>
        </w:rPr>
        <w:t>Kontrola před podpisem dodatku ke smlouvě s dodavatelem</w:t>
      </w:r>
    </w:p>
    <w:p w14:paraId="3E348BC5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 případě, že je k uzavřené smlouvě s dodavatelem uzavírán dodatek, zasílají se Kontrolorovi před uzavřením dodatku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posouzení následující dokumenty:</w:t>
      </w:r>
    </w:p>
    <w:p w14:paraId="184D668C" w14:textId="48BD6B69" w:rsidR="00F906F8" w:rsidRPr="00701834" w:rsidRDefault="00F906F8" w:rsidP="00B50B2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návrh dodatku včetně příloh</w:t>
      </w:r>
      <w:r w:rsidRPr="00E15AA9">
        <w:rPr>
          <w:rFonts w:ascii="Segoe UI" w:eastAsia="Segoe UI" w:hAnsi="Segoe UI" w:cs="Segoe UI"/>
          <w:sz w:val="20"/>
        </w:rPr>
        <w:t>;</w:t>
      </w:r>
    </w:p>
    <w:p w14:paraId="6C63B5BD" w14:textId="5EA85482" w:rsidR="00F906F8" w:rsidRDefault="00F906F8" w:rsidP="00B50B2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případné další součásti dokumentace</w:t>
      </w:r>
      <w:r w:rsidRPr="00E15AA9">
        <w:rPr>
          <w:rFonts w:ascii="Segoe UI" w:eastAsia="Segoe UI" w:hAnsi="Segoe UI" w:cs="Segoe UI"/>
          <w:sz w:val="20"/>
        </w:rPr>
        <w:t xml:space="preserve">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návrhu uzavření dodatku (pokud existují) včetně odůvodnění nezbytnosti/nutnosti uzavření dodatku</w:t>
      </w:r>
      <w:r w:rsidR="00701834">
        <w:rPr>
          <w:rFonts w:ascii="Segoe UI" w:eastAsia="Segoe UI" w:hAnsi="Segoe UI" w:cs="Segoe UI"/>
          <w:sz w:val="20"/>
        </w:rPr>
        <w:t>;</w:t>
      </w:r>
    </w:p>
    <w:p w14:paraId="7ABEEB0C" w14:textId="5D50DC33" w:rsidR="00701834" w:rsidRPr="00E15AA9" w:rsidRDefault="006458E1" w:rsidP="00B50B2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vnitřní předpis Partnera pro oblast zadávání veřejných zakázek </w:t>
      </w:r>
      <w:r>
        <w:rPr>
          <w:rFonts w:ascii="Segoe UI" w:eastAsia="Segoe UI" w:hAnsi="Segoe UI" w:cs="Segoe UI"/>
          <w:bCs/>
          <w:sz w:val="20"/>
        </w:rPr>
        <w:t>v případě, že partner postupuje při zadání veřejné zakázky podle tohoto předpisu pokud došlo k jeho změně oproti verzi již dříve předložené</w:t>
      </w:r>
      <w:r w:rsidR="00701834">
        <w:rPr>
          <w:rFonts w:ascii="Segoe UI" w:eastAsia="Segoe UI" w:hAnsi="Segoe UI" w:cs="Segoe UI"/>
          <w:bCs/>
          <w:sz w:val="20"/>
        </w:rPr>
        <w:t>.</w:t>
      </w:r>
    </w:p>
    <w:p w14:paraId="484017CC" w14:textId="659EAB02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Kontrolor si může vyžádat další dokumenty nezbytné pro provedení kontroly zadávacího</w:t>
      </w:r>
      <w:r w:rsidR="00701834">
        <w:rPr>
          <w:rFonts w:ascii="Segoe UI" w:eastAsia="Segoe UI" w:hAnsi="Segoe UI" w:cs="Segoe UI"/>
          <w:sz w:val="20"/>
        </w:rPr>
        <w:t>/výběrového</w:t>
      </w:r>
      <w:r w:rsidRPr="00E15AA9">
        <w:rPr>
          <w:rFonts w:ascii="Segoe UI" w:eastAsia="Segoe UI" w:hAnsi="Segoe UI" w:cs="Segoe UI"/>
          <w:sz w:val="20"/>
        </w:rPr>
        <w:t xml:space="preserve"> řízení. </w:t>
      </w:r>
    </w:p>
    <w:p w14:paraId="5DDDC034" w14:textId="77777777" w:rsidR="00F906F8" w:rsidRPr="00E15AA9" w:rsidRDefault="00F906F8" w:rsidP="00B50B2C">
      <w:pPr>
        <w:keepNext/>
        <w:keepLines/>
        <w:spacing w:after="120" w:line="288" w:lineRule="auto"/>
        <w:jc w:val="both"/>
        <w:outlineLvl w:val="3"/>
        <w:rPr>
          <w:rFonts w:ascii="Segoe UI" w:eastAsia="Times New Roman" w:hAnsi="Segoe UI" w:cs="Segoe UI"/>
          <w:iCs/>
          <w:color w:val="003165"/>
          <w:sz w:val="20"/>
          <w:lang w:val="pl-PL"/>
        </w:rPr>
      </w:pPr>
      <w:r w:rsidRPr="00E15AA9">
        <w:rPr>
          <w:rFonts w:ascii="Segoe UI" w:eastAsia="Times New Roman" w:hAnsi="Segoe UI" w:cs="Segoe UI"/>
          <w:iCs/>
          <w:color w:val="003165"/>
          <w:sz w:val="20"/>
          <w:lang w:val="pl-PL"/>
        </w:rPr>
        <w:t>Kontrola po podpisu dodatku ke smlouvě s dodavatelem</w:t>
      </w:r>
    </w:p>
    <w:p w14:paraId="1F237597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 případě, že je k uzavřené smlouvě s dodavatelem uzavřen dodatek, zasílají se Kontrolorovi po uzavření dodatku, nejpozději však při předložení nejblíže následující Podrobné soupisky výdajů, k posouzení následující dokumenty:</w:t>
      </w:r>
    </w:p>
    <w:p w14:paraId="2E62EE82" w14:textId="77777777" w:rsidR="00F906F8" w:rsidRPr="00E15AA9" w:rsidRDefault="00F906F8" w:rsidP="00B50B2C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uzavřený dodatek včetně příloh</w:t>
      </w:r>
      <w:r w:rsidRPr="00E15AA9">
        <w:rPr>
          <w:rFonts w:ascii="Segoe UI" w:eastAsia="Segoe UI" w:hAnsi="Segoe UI" w:cs="Segoe UI"/>
          <w:sz w:val="20"/>
        </w:rPr>
        <w:t>;</w:t>
      </w:r>
    </w:p>
    <w:p w14:paraId="2464C419" w14:textId="5D8F45F5" w:rsidR="00F906F8" w:rsidRDefault="00F906F8" w:rsidP="00B50B2C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b/>
          <w:sz w:val="20"/>
        </w:rPr>
        <w:t>případné další součásti dokumentace</w:t>
      </w:r>
      <w:r w:rsidRPr="00E15AA9">
        <w:rPr>
          <w:rFonts w:ascii="Segoe UI" w:eastAsia="Segoe UI" w:hAnsi="Segoe UI" w:cs="Segoe UI"/>
          <w:sz w:val="20"/>
        </w:rPr>
        <w:t xml:space="preserve">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uzavření dodatku (pokud existují)</w:t>
      </w:r>
      <w:r w:rsidR="00701834">
        <w:rPr>
          <w:rFonts w:ascii="Segoe UI" w:eastAsia="Segoe UI" w:hAnsi="Segoe UI" w:cs="Segoe UI"/>
          <w:sz w:val="20"/>
        </w:rPr>
        <w:t>,</w:t>
      </w:r>
    </w:p>
    <w:p w14:paraId="5C7BAD88" w14:textId="1B903721" w:rsidR="00701834" w:rsidRPr="00E15AA9" w:rsidRDefault="006458E1" w:rsidP="00B50B2C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Segoe UI" w:eastAsia="Segoe UI" w:hAnsi="Segoe UI" w:cs="Segoe UI"/>
          <w:sz w:val="20"/>
        </w:rPr>
      </w:pPr>
      <w:r>
        <w:rPr>
          <w:rFonts w:ascii="Segoe UI" w:eastAsia="Segoe UI" w:hAnsi="Segoe UI" w:cs="Segoe UI"/>
          <w:b/>
          <w:sz w:val="20"/>
        </w:rPr>
        <w:t xml:space="preserve">vnitřní předpis Partnera pro oblast zadávání veřejných zakázek </w:t>
      </w:r>
      <w:r>
        <w:rPr>
          <w:rFonts w:ascii="Segoe UI" w:eastAsia="Segoe UI" w:hAnsi="Segoe UI" w:cs="Segoe UI"/>
          <w:bCs/>
          <w:sz w:val="20"/>
        </w:rPr>
        <w:t>v případě, že partner postupuje při zadání veřejné zakázky podle tohoto předpisu pokud došlo k jeho změně oproti verzi již dříve předložené</w:t>
      </w:r>
      <w:r w:rsidR="00701834">
        <w:rPr>
          <w:rFonts w:ascii="Segoe UI" w:eastAsia="Segoe UI" w:hAnsi="Segoe UI" w:cs="Segoe UI"/>
          <w:bCs/>
          <w:sz w:val="20"/>
        </w:rPr>
        <w:t>.</w:t>
      </w:r>
    </w:p>
    <w:p w14:paraId="48C3C8E0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 xml:space="preserve">Kontrolor si může vyžádat další dokumenty nezbytné pro provedení kontroly zadávacího řízení. </w:t>
      </w:r>
    </w:p>
    <w:p w14:paraId="19FE1264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Výše uvedené se netýká případů, kdy došlo k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přímému nákupu bez </w:t>
      </w:r>
      <w:r>
        <w:rPr>
          <w:rFonts w:ascii="Segoe UI" w:eastAsia="Segoe UI" w:hAnsi="Segoe UI" w:cs="Segoe UI"/>
          <w:sz w:val="20"/>
        </w:rPr>
        <w:t>výběrového/</w:t>
      </w:r>
      <w:r w:rsidRPr="00E15AA9">
        <w:rPr>
          <w:rFonts w:ascii="Segoe UI" w:eastAsia="Segoe UI" w:hAnsi="Segoe UI" w:cs="Segoe UI"/>
          <w:sz w:val="20"/>
        </w:rPr>
        <w:t>zadávacího řízení (v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to pravidla umožňují).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tomto případě budou kontrolovány pouze účetní doklady se zakázkou související.</w:t>
      </w:r>
    </w:p>
    <w:p w14:paraId="43145813" w14:textId="7777777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Dále se výše uvedené postupy netýkají zakázek, které jsou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projektu vykazovány pouze částečně, např. zadávací/výběrové řízení na spotřební materiál, a to za splnění podmínky, že součet výdajů uplatňovaných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projektu nepřesáhne 500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000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Kč (v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je dodavatelem plátce DPH, se jedná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částku bez DPH). V případě, že součet výdajů uplatňovaných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projektu tuto částku přesáhne, ale </w:t>
      </w:r>
      <w:r w:rsidRPr="00E15AA9">
        <w:rPr>
          <w:rFonts w:ascii="Segoe UI" w:eastAsia="Segoe UI" w:hAnsi="Segoe UI" w:cs="Segoe UI"/>
          <w:sz w:val="20"/>
        </w:rPr>
        <w:lastRenderedPageBreak/>
        <w:t>zároveň nepřekročí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rámci</w:t>
      </w:r>
      <w:r>
        <w:rPr>
          <w:rFonts w:ascii="Segoe UI" w:eastAsia="Segoe UI" w:hAnsi="Segoe UI" w:cs="Segoe UI"/>
          <w:sz w:val="20"/>
        </w:rPr>
        <w:t xml:space="preserve"> </w:t>
      </w:r>
      <w:r w:rsidRPr="00E15AA9">
        <w:rPr>
          <w:rFonts w:ascii="Segoe UI" w:eastAsia="Segoe UI" w:hAnsi="Segoe UI" w:cs="Segoe UI"/>
          <w:sz w:val="20"/>
        </w:rPr>
        <w:t>projektu 25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% celkových způsobilých výdajů schváleného rozpočtu partnera a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rámci zakázky 50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% celkové hodnoty zakázky, musí zadavatel k</w:t>
      </w:r>
      <w:r>
        <w:t> </w:t>
      </w:r>
      <w:r w:rsidRPr="00E15AA9">
        <w:rPr>
          <w:rFonts w:ascii="Segoe UI" w:eastAsia="Segoe UI" w:hAnsi="Segoe UI" w:cs="Segoe UI"/>
          <w:sz w:val="20"/>
        </w:rPr>
        <w:t>deklarovaným výdajům doložit, že veřejná zakázka byla zadána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souladu se zákonem č.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134/2016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Sb.,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zadávání veřejných zakázek,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platném znění u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zakázek vyhlašovaných od 1.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10.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2016, případně s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pravidly pro zadávání veřejných zakázek mimo režim zákona stanovenými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pravidlech Programu, a to buď zprávou externího auditora, případně Zprávou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výsledku přezkoumání hospodaření podle zákona č.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420/2004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Sb.,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přezkoumávání hospodaření územních samosprávných celků a dobrovolných svazků obcí, pokud předmětem přezkoumání byla i daná veřejná zakázka.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případě, že výdaje z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veřejné zakázky byly uplatněny i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rámci projektu realizovaného z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jiného operačního programu, může příjemce doložit zprávu o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výsledku kontroly veřejné zakázky zpracovanou subjektem, který je pro daný operační program odpovědný za provádění řídicí kontroly dle čl. 74 odst. 1 písm. a) nař</w:t>
      </w:r>
      <w:r>
        <w:rPr>
          <w:rFonts w:ascii="Segoe UI" w:eastAsia="Segoe UI" w:hAnsi="Segoe UI" w:cs="Segoe UI"/>
          <w:sz w:val="20"/>
        </w:rPr>
        <w:t>ízení</w:t>
      </w:r>
      <w:r w:rsidRPr="00E15AA9">
        <w:rPr>
          <w:rFonts w:ascii="Segoe UI" w:eastAsia="Segoe UI" w:hAnsi="Segoe UI" w:cs="Segoe UI"/>
          <w:sz w:val="20"/>
        </w:rPr>
        <w:t xml:space="preserve"> EP a Rady (EU) 2021/1060 (dále také „Obecné nařízení“).</w:t>
      </w:r>
    </w:p>
    <w:p w14:paraId="5BF46001" w14:textId="548C0D5A" w:rsidR="00F906F8" w:rsidRPr="0068231B" w:rsidRDefault="00F906F8" w:rsidP="00B50B2C">
      <w:pPr>
        <w:pStyle w:val="Odstavecseseznamem"/>
        <w:keepNext/>
        <w:keepLines/>
        <w:numPr>
          <w:ilvl w:val="1"/>
          <w:numId w:val="13"/>
        </w:numPr>
        <w:spacing w:after="120" w:line="288" w:lineRule="auto"/>
        <w:jc w:val="both"/>
        <w:outlineLvl w:val="2"/>
        <w:rPr>
          <w:rFonts w:ascii="Segoe UI" w:eastAsia="Times New Roman" w:hAnsi="Segoe UI" w:cs="Segoe UI"/>
          <w:vanish/>
          <w:color w:val="004388"/>
          <w:sz w:val="24"/>
          <w:szCs w:val="28"/>
        </w:rPr>
      </w:pPr>
      <w:bookmarkStart w:id="20" w:name="_Toc133318071"/>
      <w:bookmarkStart w:id="21" w:name="_Toc138653251"/>
      <w:bookmarkStart w:id="22" w:name="_Toc172628826"/>
      <w:r w:rsidRPr="0068231B">
        <w:rPr>
          <w:rFonts w:ascii="Segoe UI" w:eastAsia="Times New Roman" w:hAnsi="Segoe UI" w:cs="Segoe UI"/>
          <w:color w:val="004388"/>
          <w:sz w:val="24"/>
          <w:szCs w:val="28"/>
        </w:rPr>
        <w:t>Sankce v případě nedodržení pravidel pro zadávání zakázek</w:t>
      </w:r>
      <w:bookmarkEnd w:id="20"/>
      <w:bookmarkEnd w:id="21"/>
      <w:bookmarkEnd w:id="22"/>
    </w:p>
    <w:p w14:paraId="6BF0F32D" w14:textId="77777777" w:rsidR="00E62DB6" w:rsidRDefault="00E62DB6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</w:p>
    <w:p w14:paraId="4913F82E" w14:textId="4D485BA7" w:rsidR="00F906F8" w:rsidRPr="00E15AA9" w:rsidRDefault="00F906F8" w:rsidP="00B50B2C">
      <w:pPr>
        <w:spacing w:after="120" w:line="288" w:lineRule="auto"/>
        <w:jc w:val="both"/>
        <w:rPr>
          <w:rFonts w:ascii="Segoe UI" w:eastAsia="Segoe UI" w:hAnsi="Segoe UI" w:cs="Segoe UI"/>
          <w:sz w:val="20"/>
        </w:rPr>
      </w:pPr>
      <w:r w:rsidRPr="00E15AA9">
        <w:rPr>
          <w:rFonts w:ascii="Segoe UI" w:eastAsia="Segoe UI" w:hAnsi="Segoe UI" w:cs="Segoe UI"/>
          <w:sz w:val="20"/>
        </w:rPr>
        <w:t>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případě nedodržení pravidel a předpisů pro zadávání zakázek, které spadají pod výčet nesrovnalostí uvedených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rozhodnutím Komise C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(2019)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 xml:space="preserve">3452 </w:t>
      </w:r>
      <w:hyperlink r:id="rId9" w:history="1">
        <w:r w:rsidRPr="00421632">
          <w:rPr>
            <w:rFonts w:ascii="Segoe UI" w:eastAsia="Segoe UI" w:hAnsi="Segoe UI" w:cs="Segoe UI"/>
            <w:sz w:val="20"/>
          </w:rPr>
          <w:t>v platném znění</w:t>
        </w:r>
      </w:hyperlink>
      <w:r w:rsidRPr="00421632">
        <w:rPr>
          <w:rFonts w:ascii="Segoe UI" w:eastAsia="Segoe UI" w:hAnsi="Segoe UI" w:cs="Segoe UI"/>
          <w:sz w:val="20"/>
        </w:rPr>
        <w:t>, bude</w:t>
      </w:r>
      <w:r w:rsidRPr="00E15AA9">
        <w:rPr>
          <w:rFonts w:ascii="Segoe UI" w:eastAsia="Segoe UI" w:hAnsi="Segoe UI" w:cs="Segoe UI"/>
          <w:sz w:val="20"/>
        </w:rPr>
        <w:t xml:space="preserve"> partnerovi vyčíslena finanční oprava v</w:t>
      </w:r>
      <w:r>
        <w:rPr>
          <w:rFonts w:ascii="Segoe UI" w:eastAsia="Segoe UI" w:hAnsi="Segoe UI" w:cs="Segoe UI"/>
          <w:sz w:val="20"/>
        </w:rPr>
        <w:t> </w:t>
      </w:r>
      <w:r w:rsidRPr="00E15AA9">
        <w:rPr>
          <w:rFonts w:ascii="Segoe UI" w:eastAsia="Segoe UI" w:hAnsi="Segoe UI" w:cs="Segoe UI"/>
          <w:sz w:val="20"/>
        </w:rPr>
        <w:t>souladu s tímto rozhodnutím.</w:t>
      </w:r>
    </w:p>
    <w:p w14:paraId="419A4663" w14:textId="15ADF990" w:rsidR="00CA7D7B" w:rsidRDefault="00CA7D7B" w:rsidP="00B50B2C">
      <w:pPr>
        <w:jc w:val="both"/>
      </w:pPr>
    </w:p>
    <w:p w14:paraId="4E4BD8A9" w14:textId="4B1D0365" w:rsidR="00E62DB6" w:rsidRDefault="00E62DB6" w:rsidP="00B50B2C">
      <w:pPr>
        <w:jc w:val="both"/>
      </w:pPr>
    </w:p>
    <w:sectPr w:rsidR="00E6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3218" w14:textId="77777777" w:rsidR="00F906F8" w:rsidRDefault="00F906F8" w:rsidP="00F906F8">
      <w:pPr>
        <w:spacing w:after="0" w:line="240" w:lineRule="auto"/>
      </w:pPr>
      <w:r>
        <w:separator/>
      </w:r>
    </w:p>
  </w:endnote>
  <w:endnote w:type="continuationSeparator" w:id="0">
    <w:p w14:paraId="65B1D8C5" w14:textId="77777777" w:rsidR="00F906F8" w:rsidRDefault="00F906F8" w:rsidP="00F9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1E6D" w14:textId="77777777" w:rsidR="00F906F8" w:rsidRDefault="00F906F8" w:rsidP="00F906F8">
      <w:pPr>
        <w:spacing w:after="0" w:line="240" w:lineRule="auto"/>
      </w:pPr>
      <w:r>
        <w:separator/>
      </w:r>
    </w:p>
  </w:footnote>
  <w:footnote w:type="continuationSeparator" w:id="0">
    <w:p w14:paraId="0BD44E5C" w14:textId="77777777" w:rsidR="00F906F8" w:rsidRDefault="00F906F8" w:rsidP="00F906F8">
      <w:pPr>
        <w:spacing w:after="0" w:line="240" w:lineRule="auto"/>
      </w:pPr>
      <w:r>
        <w:continuationSeparator/>
      </w:r>
    </w:p>
  </w:footnote>
  <w:footnote w:id="1">
    <w:p w14:paraId="4FE2E750" w14:textId="77777777" w:rsidR="00F906F8" w:rsidRPr="002E67A1" w:rsidRDefault="00F906F8" w:rsidP="00F906F8">
      <w:pPr>
        <w:pStyle w:val="Textpoznpodarou"/>
      </w:pPr>
      <w:r>
        <w:rPr>
          <w:rStyle w:val="Znakapoznpodarou"/>
        </w:rPr>
        <w:footnoteRef/>
      </w:r>
      <w:r w:rsidRPr="002E67A1">
        <w:t xml:space="preserve"> </w:t>
      </w:r>
      <w:r w:rsidRPr="00E15AA9">
        <w:rPr>
          <w:rFonts w:cs="Segoe UI"/>
        </w:rPr>
        <w:t xml:space="preserve">Metodický pokyn pro oblast zadávání zakázek pro programové období 2021-2027 je dostupný zde: </w:t>
      </w:r>
      <w:hyperlink r:id="rId1" w:history="1">
        <w:r w:rsidRPr="00E15AA9">
          <w:rPr>
            <w:rStyle w:val="Hypertextovodkaz1"/>
            <w:rFonts w:cs="Segoe UI"/>
          </w:rPr>
          <w:t>https://www.dotaceeu.cz/getmedia/716761a2-8871-466f-89d0-c0a4c380a869/MP-zadavani-zakazek-2021-2027.pdf.aspx?ext=.pdf</w:t>
        </w:r>
      </w:hyperlink>
    </w:p>
  </w:footnote>
  <w:footnote w:id="2">
    <w:p w14:paraId="4ED0DAED" w14:textId="77777777" w:rsidR="00F906F8" w:rsidRPr="00E15AA9" w:rsidRDefault="00F906F8" w:rsidP="00F906F8">
      <w:pPr>
        <w:pStyle w:val="Textpoznpodarou"/>
        <w:rPr>
          <w:rFonts w:cs="Segoe UI"/>
        </w:rPr>
      </w:pPr>
      <w:r w:rsidRPr="00E15AA9">
        <w:rPr>
          <w:rStyle w:val="Znakapoznpodarou"/>
          <w:rFonts w:cs="Segoe UI"/>
        </w:rPr>
        <w:footnoteRef/>
      </w:r>
      <w:r w:rsidRPr="00E15AA9">
        <w:rPr>
          <w:rFonts w:cs="Segoe UI"/>
        </w:rPr>
        <w:t xml:space="preserve"> </w:t>
      </w:r>
      <w:r w:rsidRPr="00E15AA9">
        <w:rPr>
          <w:rFonts w:cs="Segoe UI"/>
          <w:szCs w:val="14"/>
        </w:rPr>
        <w:t>Dle § 6 Zákona o zadávání veřejných zakázek</w:t>
      </w:r>
    </w:p>
  </w:footnote>
  <w:footnote w:id="3">
    <w:p w14:paraId="3D6BA165" w14:textId="77777777" w:rsidR="00F906F8" w:rsidRPr="00E15AA9" w:rsidRDefault="00F906F8" w:rsidP="00F906F8">
      <w:pPr>
        <w:pStyle w:val="Textpoznpodarou"/>
        <w:rPr>
          <w:rFonts w:cs="Segoe UI"/>
        </w:rPr>
      </w:pPr>
      <w:r w:rsidRPr="00E15AA9">
        <w:rPr>
          <w:rStyle w:val="Znakapoznpodarou"/>
          <w:rFonts w:cs="Segoe UI"/>
        </w:rPr>
        <w:footnoteRef/>
      </w:r>
      <w:r w:rsidRPr="00E15AA9">
        <w:rPr>
          <w:rFonts w:cs="Segoe UI"/>
          <w:szCs w:val="14"/>
        </w:rPr>
        <w:t xml:space="preserve"> Dle v § 2 Zákona o finanční kontrole</w:t>
      </w:r>
    </w:p>
  </w:footnote>
  <w:footnote w:id="4">
    <w:p w14:paraId="6AB320D5" w14:textId="77777777" w:rsidR="00F906F8" w:rsidRPr="00E15AA9" w:rsidRDefault="00F906F8" w:rsidP="00F906F8">
      <w:pPr>
        <w:pStyle w:val="Textpoznpodarou"/>
        <w:rPr>
          <w:rFonts w:cs="Segoe UI"/>
        </w:rPr>
      </w:pPr>
      <w:r w:rsidRPr="00E15AA9">
        <w:rPr>
          <w:rStyle w:val="Znakapoznpodarou"/>
          <w:rFonts w:cs="Segoe UI"/>
        </w:rPr>
        <w:footnoteRef/>
      </w:r>
      <w:r w:rsidRPr="00E15AA9">
        <w:rPr>
          <w:rFonts w:cs="Segoe UI"/>
        </w:rPr>
        <w:t xml:space="preserve"> Kalkulace předpokládané hodnoty veřejné zakázky musí obsahovat rozsah plnění, která jsou předmětem veřejné zakázky. V</w:t>
      </w:r>
      <w:r>
        <w:rPr>
          <w:rFonts w:cs="Segoe UI"/>
        </w:rPr>
        <w:t> </w:t>
      </w:r>
      <w:r w:rsidRPr="00E15AA9">
        <w:rPr>
          <w:rFonts w:cs="Segoe UI"/>
        </w:rPr>
        <w:t>případě, že je veřejná zakázka složena z</w:t>
      </w:r>
      <w:r>
        <w:rPr>
          <w:rFonts w:cs="Segoe UI"/>
        </w:rPr>
        <w:t> </w:t>
      </w:r>
      <w:r w:rsidRPr="00E15AA9">
        <w:rPr>
          <w:rFonts w:cs="Segoe UI"/>
        </w:rPr>
        <w:t>více dílčích plnění, musí být kalkulace v</w:t>
      </w:r>
      <w:r>
        <w:rPr>
          <w:rFonts w:cs="Segoe UI"/>
        </w:rPr>
        <w:t> </w:t>
      </w:r>
      <w:r w:rsidRPr="00E15AA9">
        <w:rPr>
          <w:rFonts w:cs="Segoe UI"/>
        </w:rPr>
        <w:t>této podobě provedena za každé dílčí plnění. Zdůvodnění kalkulace musí být podloženo buď informacemi o</w:t>
      </w:r>
      <w:r>
        <w:rPr>
          <w:rFonts w:cs="Segoe UI"/>
        </w:rPr>
        <w:t> </w:t>
      </w:r>
      <w:r w:rsidRPr="00E15AA9">
        <w:rPr>
          <w:rFonts w:cs="Segoe UI"/>
        </w:rPr>
        <w:t>zakázkách stejného či podobného předmětu plnění (partner může vycházet např. z</w:t>
      </w:r>
      <w:r>
        <w:rPr>
          <w:rFonts w:cs="Segoe UI"/>
        </w:rPr>
        <w:t> </w:t>
      </w:r>
      <w:r w:rsidRPr="00E15AA9">
        <w:rPr>
          <w:rFonts w:cs="Segoe UI"/>
        </w:rPr>
        <w:t>vlastních zkušeností se zadáním stejné či podobné veřejné zakázky v</w:t>
      </w:r>
      <w:r>
        <w:rPr>
          <w:rFonts w:cs="Segoe UI"/>
        </w:rPr>
        <w:t> </w:t>
      </w:r>
      <w:r w:rsidRPr="00E15AA9">
        <w:rPr>
          <w:rFonts w:cs="Segoe UI"/>
        </w:rPr>
        <w:t>minulosti nebo z jiných dostupných údajů a informací – např. veřejně přístupné údaje na internetu nebo v</w:t>
      </w:r>
      <w:r>
        <w:rPr>
          <w:rFonts w:cs="Segoe UI"/>
        </w:rPr>
        <w:t> </w:t>
      </w:r>
      <w:r w:rsidRPr="00E15AA9">
        <w:rPr>
          <w:rFonts w:cs="Segoe UI"/>
        </w:rPr>
        <w:t>odborných publikacích)</w:t>
      </w:r>
      <w:r>
        <w:rPr>
          <w:rFonts w:cs="Segoe UI"/>
        </w:rPr>
        <w:t>,</w:t>
      </w:r>
      <w:r w:rsidRPr="00E15AA9">
        <w:rPr>
          <w:rFonts w:cs="Segoe UI"/>
        </w:rPr>
        <w:t xml:space="preserve"> nebo průzkumem trhu s</w:t>
      </w:r>
      <w:r>
        <w:rPr>
          <w:rFonts w:cs="Segoe UI"/>
        </w:rPr>
        <w:t> </w:t>
      </w:r>
      <w:r w:rsidRPr="00E15AA9">
        <w:rPr>
          <w:rFonts w:cs="Segoe UI"/>
        </w:rPr>
        <w:t>požadovaným plněním.</w:t>
      </w:r>
    </w:p>
  </w:footnote>
  <w:footnote w:id="5">
    <w:p w14:paraId="74FF8A88" w14:textId="4E5AE5B7" w:rsidR="00F906F8" w:rsidRPr="00E15AA9" w:rsidRDefault="00F906F8" w:rsidP="00F906F8">
      <w:pPr>
        <w:pStyle w:val="Textpoznpodarou"/>
        <w:rPr>
          <w:rFonts w:cs="Segoe UI"/>
        </w:rPr>
      </w:pPr>
      <w:r w:rsidRPr="00E15AA9">
        <w:rPr>
          <w:rStyle w:val="Znakapoznpodarou"/>
          <w:rFonts w:cs="Segoe UI"/>
        </w:rPr>
        <w:footnoteRef/>
      </w:r>
      <w:r w:rsidRPr="00E15AA9">
        <w:rPr>
          <w:rFonts w:cs="Segoe UI"/>
        </w:rPr>
        <w:t xml:space="preserve"> Partner v rámci zadávací dokumentace mimo jiné stanoví (a) fakturační podmínky tak, aby byla jednoznačně patrná souvislost jednotlivých faktur s projektem, a to označením účetního dokladu pomocí čísla nebo názvu projektu a (b) v případě, kdy Partner nezajistí adekvátní publicitu vlastními silami i povinnost vybraného dodavatele zajistit projektu dostatečnou publicitu o tom, že projekt je spolufinancován z</w:t>
      </w:r>
      <w:r w:rsidR="008C3201">
        <w:rPr>
          <w:rFonts w:cs="Segoe UI"/>
        </w:rPr>
        <w:t> </w:t>
      </w:r>
      <w:r w:rsidRPr="00E15AA9">
        <w:rPr>
          <w:rFonts w:cs="Segoe UI"/>
        </w:rPr>
        <w:t>prostředků EU.</w:t>
      </w:r>
    </w:p>
  </w:footnote>
  <w:footnote w:id="6">
    <w:p w14:paraId="0A72669D" w14:textId="77777777" w:rsidR="00F906F8" w:rsidRPr="002E67A1" w:rsidRDefault="00F906F8" w:rsidP="00F906F8">
      <w:pPr>
        <w:pStyle w:val="Textpoznpodarou"/>
      </w:pPr>
      <w:r>
        <w:rPr>
          <w:rStyle w:val="Znakapoznpodarou"/>
        </w:rPr>
        <w:footnoteRef/>
      </w:r>
      <w:r w:rsidRPr="002E67A1">
        <w:t xml:space="preserve"> </w:t>
      </w:r>
      <w:r>
        <w:t>Potvrzení o uveřejnění smlouvy registru smluv zasílá automaticky prostřednictvím datové schránky stranám, které smlouvu uzavřely.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DBC"/>
    <w:multiLevelType w:val="multilevel"/>
    <w:tmpl w:val="79DC6DC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B72643"/>
    <w:multiLevelType w:val="hybridMultilevel"/>
    <w:tmpl w:val="0A967D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1A61"/>
    <w:multiLevelType w:val="hybridMultilevel"/>
    <w:tmpl w:val="52421E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B1D"/>
    <w:multiLevelType w:val="hybridMultilevel"/>
    <w:tmpl w:val="03C8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7B6"/>
    <w:multiLevelType w:val="hybridMultilevel"/>
    <w:tmpl w:val="A138495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211F8A"/>
    <w:multiLevelType w:val="multilevel"/>
    <w:tmpl w:val="508A35B8"/>
    <w:lvl w:ilvl="0">
      <w:start w:val="1"/>
      <w:numFmt w:val="decimal"/>
      <w:lvlText w:val="%1"/>
      <w:lvlJc w:val="left"/>
      <w:pPr>
        <w:ind w:left="660" w:hanging="66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egoe UI" w:eastAsia="Times New Roman" w:hAnsi="Segoe UI" w:cs="Segoe UI" w:hint="default"/>
        <w:b/>
        <w:color w:val="0563C1" w:themeColor="hyperlink"/>
        <w:sz w:val="20"/>
        <w:u w:val="single"/>
      </w:rPr>
    </w:lvl>
  </w:abstractNum>
  <w:abstractNum w:abstractNumId="6" w15:restartNumberingAfterBreak="0">
    <w:nsid w:val="1D6F6774"/>
    <w:multiLevelType w:val="hybridMultilevel"/>
    <w:tmpl w:val="7FDED4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36C13"/>
    <w:multiLevelType w:val="hybridMultilevel"/>
    <w:tmpl w:val="DE20F3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5EF"/>
    <w:multiLevelType w:val="hybridMultilevel"/>
    <w:tmpl w:val="C0E807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5A54"/>
    <w:multiLevelType w:val="hybridMultilevel"/>
    <w:tmpl w:val="382A18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4F9F"/>
    <w:multiLevelType w:val="hybridMultilevel"/>
    <w:tmpl w:val="25F22A34"/>
    <w:lvl w:ilvl="0" w:tplc="1DA0EAE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1752A"/>
    <w:multiLevelType w:val="hybridMultilevel"/>
    <w:tmpl w:val="41F251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D1823"/>
    <w:multiLevelType w:val="hybridMultilevel"/>
    <w:tmpl w:val="510EF1FC"/>
    <w:lvl w:ilvl="0" w:tplc="57D61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E4D08"/>
    <w:multiLevelType w:val="hybridMultilevel"/>
    <w:tmpl w:val="E2D82D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C2C1A"/>
    <w:multiLevelType w:val="hybridMultilevel"/>
    <w:tmpl w:val="5D46A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6C0"/>
    <w:multiLevelType w:val="hybridMultilevel"/>
    <w:tmpl w:val="FADC65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422297">
    <w:abstractNumId w:val="2"/>
  </w:num>
  <w:num w:numId="2" w16cid:durableId="1316034335">
    <w:abstractNumId w:val="3"/>
  </w:num>
  <w:num w:numId="3" w16cid:durableId="1064721309">
    <w:abstractNumId w:val="1"/>
  </w:num>
  <w:num w:numId="4" w16cid:durableId="1564372966">
    <w:abstractNumId w:val="7"/>
  </w:num>
  <w:num w:numId="5" w16cid:durableId="697974408">
    <w:abstractNumId w:val="9"/>
  </w:num>
  <w:num w:numId="6" w16cid:durableId="555359977">
    <w:abstractNumId w:val="8"/>
  </w:num>
  <w:num w:numId="7" w16cid:durableId="2000619353">
    <w:abstractNumId w:val="13"/>
  </w:num>
  <w:num w:numId="8" w16cid:durableId="146438768">
    <w:abstractNumId w:val="11"/>
  </w:num>
  <w:num w:numId="9" w16cid:durableId="1799954847">
    <w:abstractNumId w:val="15"/>
  </w:num>
  <w:num w:numId="10" w16cid:durableId="267857888">
    <w:abstractNumId w:val="14"/>
  </w:num>
  <w:num w:numId="11" w16cid:durableId="1657567773">
    <w:abstractNumId w:val="6"/>
  </w:num>
  <w:num w:numId="12" w16cid:durableId="263805742">
    <w:abstractNumId w:val="4"/>
  </w:num>
  <w:num w:numId="13" w16cid:durableId="712001780">
    <w:abstractNumId w:val="0"/>
  </w:num>
  <w:num w:numId="14" w16cid:durableId="394546136">
    <w:abstractNumId w:val="5"/>
  </w:num>
  <w:num w:numId="15" w16cid:durableId="1127091694">
    <w:abstractNumId w:val="10"/>
  </w:num>
  <w:num w:numId="16" w16cid:durableId="9256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F8"/>
    <w:rsid w:val="00146444"/>
    <w:rsid w:val="0035729A"/>
    <w:rsid w:val="00421632"/>
    <w:rsid w:val="004F375E"/>
    <w:rsid w:val="006412C9"/>
    <w:rsid w:val="006458E1"/>
    <w:rsid w:val="006555C6"/>
    <w:rsid w:val="00677FF1"/>
    <w:rsid w:val="0068231B"/>
    <w:rsid w:val="00701834"/>
    <w:rsid w:val="008339F7"/>
    <w:rsid w:val="00837EC1"/>
    <w:rsid w:val="00874B85"/>
    <w:rsid w:val="008C3201"/>
    <w:rsid w:val="009D3304"/>
    <w:rsid w:val="009E07B5"/>
    <w:rsid w:val="00A06D52"/>
    <w:rsid w:val="00A16F07"/>
    <w:rsid w:val="00A5790E"/>
    <w:rsid w:val="00B43B59"/>
    <w:rsid w:val="00B50B2C"/>
    <w:rsid w:val="00B9413B"/>
    <w:rsid w:val="00CA6072"/>
    <w:rsid w:val="00CA7D7B"/>
    <w:rsid w:val="00D17206"/>
    <w:rsid w:val="00D57FC8"/>
    <w:rsid w:val="00DC5998"/>
    <w:rsid w:val="00E62DB6"/>
    <w:rsid w:val="00F46936"/>
    <w:rsid w:val="00F5027D"/>
    <w:rsid w:val="00F906F8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43E9"/>
  <w15:chartTrackingRefBased/>
  <w15:docId w15:val="{98E44C28-0F65-4A67-BE76-372B8DD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6F8"/>
  </w:style>
  <w:style w:type="paragraph" w:styleId="Nadpis1">
    <w:name w:val="heading 1"/>
    <w:basedOn w:val="Normln"/>
    <w:next w:val="Normln"/>
    <w:link w:val="Nadpis1Char"/>
    <w:uiPriority w:val="9"/>
    <w:qFormat/>
    <w:rsid w:val="00833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6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6F8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6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6F8"/>
    <w:rPr>
      <w:sz w:val="20"/>
      <w:szCs w:val="20"/>
    </w:rPr>
  </w:style>
  <w:style w:type="character" w:customStyle="1" w:styleId="Hypertextovodkaz1">
    <w:name w:val="Hypertextový odkaz1"/>
    <w:basedOn w:val="Standardnpsmoodstavce"/>
    <w:uiPriority w:val="99"/>
    <w:unhideWhenUsed/>
    <w:rsid w:val="00F906F8"/>
    <w:rPr>
      <w:color w:val="004388"/>
      <w:u w:val="single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basedOn w:val="Standardnpsmoodstavce"/>
    <w:uiPriority w:val="99"/>
    <w:unhideWhenUsed/>
    <w:qFormat/>
    <w:rsid w:val="00F906F8"/>
    <w:rPr>
      <w:rFonts w:ascii="Franklin Gothic Book" w:hAnsi="Franklin Gothic Book"/>
      <w:position w:val="4"/>
      <w:sz w:val="14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906F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607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8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83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33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339F7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57FC8"/>
    <w:pPr>
      <w:tabs>
        <w:tab w:val="left" w:pos="851"/>
        <w:tab w:val="right" w:leader="dot" w:pos="9062"/>
      </w:tabs>
      <w:spacing w:before="240" w:after="0"/>
      <w:ind w:left="284"/>
    </w:pPr>
    <w:rPr>
      <w:rFonts w:ascii="Segoe UI" w:eastAsia="Times New Roman" w:hAnsi="Segoe UI" w:cs="Segoe UI"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339F7"/>
    <w:pPr>
      <w:spacing w:after="0"/>
      <w:ind w:left="220"/>
    </w:pPr>
    <w:rPr>
      <w:rFonts w:cstheme="minorHAns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39F7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8339F7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8339F7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339F7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339F7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339F7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339F7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339F7"/>
    <w:pPr>
      <w:spacing w:after="0"/>
      <w:ind w:left="1540"/>
    </w:pPr>
    <w:rPr>
      <w:rFonts w:cstheme="minorHAnsi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50B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07B5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14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QQ4cmFx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s_kontrola@cr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zif.czwww.szif.cz/cs/CmDocument?rid=%2Fapa_anon%2Fcs%2Fdokumenty_ke_stazeni%2Fkomodity%2Fverejne_zakazky%2F1621844875872%2F1674811730121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taceeu.cz/getmedia/716761a2-8871-466f-89d0-c0a4c380a869/MP-zadavani-zakazek-2021-2027.pdf.aspx?ext=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2592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pro regionalni rozvoj Ceske  republiky</Company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Hrdlík Martin</dc:creator>
  <cp:keywords/>
  <dc:description/>
  <cp:lastModifiedBy>Weingärtnerová Markéta</cp:lastModifiedBy>
  <cp:revision>29</cp:revision>
  <dcterms:created xsi:type="dcterms:W3CDTF">2023-06-23T12:15:00Z</dcterms:created>
  <dcterms:modified xsi:type="dcterms:W3CDTF">2024-07-23T10:10:00Z</dcterms:modified>
</cp:coreProperties>
</file>